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 xml:space="preserve">绍兴市中医院医保智能监管服务（包含DRG监管）项目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TYJZ2025</w:t>
      </w:r>
    </w:p>
    <w:tbl>
      <w:tblPr>
        <w:tblStyle w:val="43"/>
        <w:tblW w:w="7801" w:type="dxa"/>
        <w:jc w:val="center"/>
        <w:tblLayout w:type="fixed"/>
        <w:tblCellMar>
          <w:top w:w="0" w:type="dxa"/>
          <w:left w:w="108" w:type="dxa"/>
          <w:bottom w:w="0" w:type="dxa"/>
          <w:right w:w="108" w:type="dxa"/>
        </w:tblCellMar>
      </w:tblPr>
      <w:tblGrid>
        <w:gridCol w:w="2356"/>
        <w:gridCol w:w="5445"/>
      </w:tblGrid>
      <w:tr w14:paraId="6B762B99">
        <w:tblPrEx>
          <w:tblCellMar>
            <w:top w:w="0" w:type="dxa"/>
            <w:left w:w="108" w:type="dxa"/>
            <w:bottom w:w="0" w:type="dxa"/>
            <w:right w:w="108" w:type="dxa"/>
          </w:tblCellMar>
        </w:tblPrEx>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D79E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绍兴市中医院医保智能监管服务（包含DRG监管）项目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TYJZ2025</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绍兴市中医院医保智能监管服务（包含DRG监管）项目 </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160000</w:t>
            </w:r>
          </w:p>
          <w:p w14:paraId="55CB7CE6">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160000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医保智能监管服务（包含DRG监管）项目 </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160000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99DD58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2CB3301B">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14:paraId="051A8252">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14746716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89D2CC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7499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14:paraId="7226D816">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094F5264">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588"/>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0A3E59B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498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3B0500DA">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6C5DCD6">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80C7BB3">
            <w:pPr>
              <w:pStyle w:val="72"/>
              <w:spacing w:afterLines="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14:paraId="3ECAE21E">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20346E8">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32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14:paraId="3617DDF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770CE312">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04DC6BB3">
            <w:pPr>
              <w:numPr>
                <w:ilvl w:val="0"/>
                <w:numId w:val="6"/>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3A98C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6DACB44B">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E7D9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F4B927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BB0B35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60F5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B14B1B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FA877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61D3F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95AA7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14:paraId="54251F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27AE640">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14:paraId="40970FEE">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3"/>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34A9FB82">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89A37C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3"/>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1F0464">
      <w:pPr>
        <w:spacing w:line="440" w:lineRule="exact"/>
        <w:ind w:right="420" w:firstLine="482" w:firstLineChars="200"/>
        <w:rPr>
          <w:rFonts w:hint="eastAsia" w:ascii="仿宋" w:hAnsi="仿宋" w:eastAsia="仿宋" w:cs="仿宋"/>
          <w:color w:val="auto"/>
          <w:highlight w:val="none"/>
        </w:rPr>
      </w:pPr>
      <w:bookmarkStart w:id="7" w:name="_Toc84325981"/>
      <w:bookmarkStart w:id="8" w:name="_Toc80157775"/>
      <w:bookmarkStart w:id="9" w:name="_Toc81372964"/>
      <w:bookmarkStart w:id="10" w:name="_Toc81372787"/>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医保智能监管服务（包含DRG监管）项目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16</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：自合同签订之日起</w:t>
      </w:r>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lang w:eastAsia="zh-CN"/>
        </w:rPr>
        <w:t>年。</w:t>
      </w:r>
    </w:p>
    <w:p w14:paraId="76E00225">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项目目标</w:t>
      </w:r>
    </w:p>
    <w:p w14:paraId="5583F230">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通过医保智能监管服务（包含DRG监管）项目的建设，同时结合市医保、市卫健委以及我院对医保基金监管的要求，聚焦骨科、血液净化、心血管内科、检查、检验、康复理疗等重点领域开展检查。同时结合</w:t>
      </w:r>
      <w:r>
        <w:rPr>
          <w:rFonts w:hint="eastAsia" w:ascii="仿宋" w:hAnsi="仿宋" w:eastAsia="仿宋" w:cs="仿宋"/>
          <w:color w:val="auto"/>
          <w:kern w:val="0"/>
          <w:szCs w:val="24"/>
          <w:highlight w:val="none"/>
          <w:lang w:val="en-US" w:eastAsia="zh-CN"/>
        </w:rPr>
        <w:t>近年</w:t>
      </w:r>
      <w:r>
        <w:rPr>
          <w:rFonts w:hint="eastAsia" w:ascii="仿宋" w:hAnsi="仿宋" w:eastAsia="仿宋" w:cs="仿宋"/>
          <w:color w:val="auto"/>
          <w:kern w:val="0"/>
          <w:szCs w:val="24"/>
          <w:highlight w:val="none"/>
          <w:lang w:val="zh-CN"/>
        </w:rPr>
        <w:t>医保结算费用排名靠前重点药品耗材的基金使用情况、异常增长的药品、耗材等，分析其中可能存在的存在风险的行为。另外需重点对DRGs政策实施后容易发生的违法违规行为，包括医院病案填写和DRG入组中存在的问题。提升医保管理水平和风险防控能力，切实维护医保基金安全。</w:t>
      </w:r>
    </w:p>
    <w:p w14:paraId="55AC6820">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基本原则</w:t>
      </w:r>
    </w:p>
    <w:p w14:paraId="7DC71518">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1、全面覆盖</w:t>
      </w:r>
    </w:p>
    <w:p w14:paraId="2E7EEFE2">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主要覆盖2023年1月1日至202</w:t>
      </w:r>
      <w:r>
        <w:rPr>
          <w:rFonts w:hint="eastAsia" w:ascii="仿宋" w:hAnsi="仿宋" w:eastAsia="仿宋" w:cs="仿宋"/>
          <w:color w:val="auto"/>
          <w:kern w:val="0"/>
          <w:szCs w:val="24"/>
          <w:highlight w:val="none"/>
          <w:lang w:val="en-US" w:eastAsia="zh-CN"/>
        </w:rPr>
        <w:t>6</w:t>
      </w:r>
      <w:r>
        <w:rPr>
          <w:rFonts w:hint="eastAsia" w:ascii="仿宋" w:hAnsi="仿宋" w:eastAsia="仿宋" w:cs="仿宋"/>
          <w:color w:val="auto"/>
          <w:kern w:val="0"/>
          <w:szCs w:val="24"/>
          <w:highlight w:val="none"/>
          <w:lang w:val="zh-CN"/>
        </w:rPr>
        <w:t>年</w:t>
      </w:r>
      <w:r>
        <w:rPr>
          <w:rFonts w:hint="eastAsia" w:ascii="仿宋" w:hAnsi="仿宋" w:eastAsia="仿宋" w:cs="仿宋"/>
          <w:color w:val="auto"/>
          <w:kern w:val="0"/>
          <w:szCs w:val="24"/>
          <w:highlight w:val="none"/>
          <w:lang w:val="en-US" w:eastAsia="zh-CN"/>
        </w:rPr>
        <w:t>7</w:t>
      </w:r>
      <w:r>
        <w:rPr>
          <w:rFonts w:hint="eastAsia" w:ascii="仿宋" w:hAnsi="仿宋" w:eastAsia="仿宋" w:cs="仿宋"/>
          <w:color w:val="auto"/>
          <w:kern w:val="0"/>
          <w:szCs w:val="24"/>
          <w:highlight w:val="none"/>
          <w:lang w:val="zh-CN"/>
        </w:rPr>
        <w:t>月31日期间纳入基本医疗保险支付范围的所有医疗服务行为和耗材、药品等使用费用，同时对院内近两年内总费用排位靠前的病组、费用或点数上涨幅度较大的病组进行分析。</w:t>
      </w:r>
    </w:p>
    <w:p w14:paraId="766C4A4E">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2、突出重点</w:t>
      </w:r>
    </w:p>
    <w:p w14:paraId="4AC7C6C9">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1）针对医院不同类型业务科室及其诊疗服务行为，突出治理重点，分门别类“对症治理”。重点围绕治理违规收费、重复收费、分解收费、超医保支付范围、套餐式检查、套餐式治疗以及将非医保服务诊疗服务项目纳入医保结算等行为。</w:t>
      </w:r>
    </w:p>
    <w:p w14:paraId="10006D22">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（2）运用大数据技术进行分析，从而发现医院在项目收费、病案填写和DRG入组中存在的问题。提供数据分析报告，通过评估、分析明确医保支出费用上涨原因。</w:t>
      </w:r>
    </w:p>
    <w:p w14:paraId="55FCF910">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服务内容</w:t>
      </w:r>
    </w:p>
    <w:p w14:paraId="45F3370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本项目服务内容以《医疗保障基金使用监督管理条例》中第三十八条、第四十条的违规情景为主，在医院内部对纳入基本医疗保险基金支付范围的所有医疗服务行为和医药费用，进行全面医保智能监管大数据分析服务工作。</w:t>
      </w:r>
    </w:p>
    <w:p w14:paraId="66BB012D">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（一）医保项目付费大数据分析</w:t>
      </w:r>
    </w:p>
    <w:p w14:paraId="0FF5E1A6">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1、不合理收费问题</w:t>
      </w:r>
    </w:p>
    <w:p w14:paraId="56F89CC3">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将收费诊疗项目分解成多个项目收费；将有明确项目内涵的诊疗项目重复收费；高套病种（病组）结算；超过政府定价、政府指导价标准收费；将不属于价格项目除外内容的低值医用耗材另行收费；在政府公布的价格项目外自立项目收费。</w:t>
      </w:r>
    </w:p>
    <w:p w14:paraId="39E86738">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2、串换项目（药品）问题。</w:t>
      </w:r>
    </w:p>
    <w:p w14:paraId="4262AEC0">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将目录外药品、医疗服务项目、医用耗材串换为目录内项目；将低价药品、医疗服务项目、医用耗材套用高价收费等。</w:t>
      </w:r>
    </w:p>
    <w:p w14:paraId="2F02C0DB">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3、不规范诊疗问题</w:t>
      </w:r>
    </w:p>
    <w:p w14:paraId="5389EC63">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将患者的住院诊疗过程分解成二次及以上住院治疗；不符合住院指征的患者入院治疗；超医保目录支付限定范围使用药品或医用耗材纳入医保结算；过度检查、化验、用药、治疗等行为。</w:t>
      </w:r>
    </w:p>
    <w:p w14:paraId="5E6A1C29">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4、虚假服务问题</w:t>
      </w:r>
    </w:p>
    <w:p w14:paraId="1EA0C13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伪造、变造、虚构医疗服务结算；伪造患者信息结算；挂名住院；伪造、变造财务凭证、医疗文书、票据和进销存数据结算等。</w:t>
      </w:r>
    </w:p>
    <w:p w14:paraId="189FFBB5">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5、其他违法违规问题</w:t>
      </w:r>
    </w:p>
    <w:p w14:paraId="2C00AACB">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开展与自身资质不符的医疗服务并纳入医保结算；将药物临床试验项目违规纳入医保结算等。</w:t>
      </w:r>
    </w:p>
    <w:p w14:paraId="7A062ED2">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（二）DRG监管服务大数据分析</w:t>
      </w:r>
    </w:p>
    <w:p w14:paraId="66D53DE5">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1、提供病案首页数据完整性分析、诊断数据准确性分析、医保结算清单准确性和完整性分析。</w:t>
      </w:r>
    </w:p>
    <w:p w14:paraId="0BD2DAA1">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2、医疗服务情况分析：包括医疗费用监测、服务能力与效率评价；</w:t>
      </w:r>
    </w:p>
    <w:p w14:paraId="518AA89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3、DRG入组情况分析：包括各DRG入组情况、入组数量等；</w:t>
      </w:r>
    </w:p>
    <w:p w14:paraId="480EBEBF">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4、DRG病组情况分析：包括高编高套、低编低套等。</w:t>
      </w:r>
    </w:p>
    <w:p w14:paraId="20FD63FC">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5、医疗行为变化分析：包括费用转嫁、服务不足等。</w:t>
      </w:r>
    </w:p>
    <w:p w14:paraId="6FDC0ADD">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6、住院行为异常分析：包括分解住院、低标住院（无指征、体检入院）等。</w:t>
      </w:r>
    </w:p>
    <w:p w14:paraId="71D670E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7、其他可能存在的影响医保基金异常支出的行为。</w:t>
      </w:r>
    </w:p>
    <w:p w14:paraId="7FDCF6B3">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工作安排</w:t>
      </w:r>
    </w:p>
    <w:p w14:paraId="11BEB482">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1、数据采集</w:t>
      </w:r>
    </w:p>
    <w:p w14:paraId="023584CC">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医院信息部门配合完成本项目所需相关数据采集工作，并提交给第三方公司。</w:t>
      </w:r>
    </w:p>
    <w:p w14:paraId="032678AC">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2、数据分析</w:t>
      </w:r>
    </w:p>
    <w:p w14:paraId="7005D1C0">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第三方公司组织专业团队开展数据分析工作。通过构建医保基金智能监管和DRG监管业务模型，对参保人员诊疗、结算等“结果数据”进行逆向溯源，反推就医过程中所发生的过程行为，从中推算出“结论数据”，把正常就医和违规存在风险行为进行归类、过滤和刻画，找出疑点和线索。根据分析结果出具医保基金第三方大数据分析报告。</w:t>
      </w:r>
    </w:p>
    <w:p w14:paraId="3AE62818">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3、分析结果递交</w:t>
      </w:r>
    </w:p>
    <w:p w14:paraId="78390272">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数据分析完成后，第三方公司需针对医保大数据分析所发现的问题向医院递交详细的数据分析结果报告。</w:t>
      </w:r>
    </w:p>
    <w:p w14:paraId="411361CE">
      <w:pPr>
        <w:spacing w:line="360" w:lineRule="auto"/>
        <w:ind w:firstLine="422" w:firstLineChars="200"/>
        <w:rPr>
          <w:rFonts w:hint="eastAsia" w:ascii="仿宋" w:hAnsi="仿宋" w:eastAsia="仿宋" w:cs="仿宋"/>
          <w:b/>
          <w:bCs/>
          <w:color w:val="auto"/>
          <w:kern w:val="0"/>
          <w:szCs w:val="24"/>
          <w:highlight w:val="none"/>
          <w:lang w:val="zh-CN"/>
        </w:rPr>
      </w:pPr>
      <w:r>
        <w:rPr>
          <w:rFonts w:hint="eastAsia" w:ascii="仿宋" w:hAnsi="仿宋" w:eastAsia="仿宋" w:cs="仿宋"/>
          <w:b/>
          <w:bCs/>
          <w:color w:val="auto"/>
          <w:kern w:val="0"/>
          <w:szCs w:val="24"/>
          <w:highlight w:val="none"/>
          <w:lang w:val="zh-CN"/>
        </w:rPr>
        <w:t>4、报告解读培训</w:t>
      </w:r>
    </w:p>
    <w:p w14:paraId="27D7CAFC">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在数据分析结束并出具大数据分析报告后，有第三方公司到医院现场进行报告解读培训。业务专家主要对报告中问题事项的解读，技术人员则负责数据的准确性（如：有的问题数据是由于医院内部特殊情况造成而需要调整的）。</w:t>
      </w:r>
    </w:p>
    <w:p w14:paraId="47696C04">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服务要求</w:t>
      </w:r>
    </w:p>
    <w:p w14:paraId="70AF8DA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1、服务期限：合同签订之日起</w:t>
      </w:r>
      <w:r>
        <w:rPr>
          <w:rFonts w:hint="eastAsia" w:ascii="仿宋" w:hAnsi="仿宋" w:eastAsia="仿宋" w:cs="仿宋"/>
          <w:color w:val="auto"/>
          <w:kern w:val="0"/>
          <w:szCs w:val="24"/>
          <w:highlight w:val="none"/>
          <w:lang w:val="en-US" w:eastAsia="zh-CN"/>
        </w:rPr>
        <w:t>一年</w:t>
      </w:r>
      <w:r>
        <w:rPr>
          <w:rFonts w:hint="eastAsia" w:ascii="仿宋" w:hAnsi="仿宋" w:eastAsia="仿宋" w:cs="仿宋"/>
          <w:color w:val="auto"/>
          <w:kern w:val="0"/>
          <w:szCs w:val="24"/>
          <w:highlight w:val="none"/>
          <w:lang w:val="zh-CN"/>
        </w:rPr>
        <w:t>内完成。</w:t>
      </w:r>
    </w:p>
    <w:p w14:paraId="7971B21D">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2、服务地点：采购单位指定地点。</w:t>
      </w:r>
    </w:p>
    <w:p w14:paraId="773A42A4">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3、人员要求</w:t>
      </w:r>
    </w:p>
    <w:p w14:paraId="3C1AF057">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本项目要求供应商组建专业服务团队，并配备具有计算机技术、大数据分析等相关专业技术人员，具有医学和药学等相关专业技术人员，具有会计和审计等相关专业技术人员，要求服务团队具有相关工作经验，并服从采购方统一工作安排。</w:t>
      </w:r>
    </w:p>
    <w:p w14:paraId="1B17CCE2">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4、保密要求</w:t>
      </w:r>
    </w:p>
    <w:p w14:paraId="4A6063F8">
      <w:pPr>
        <w:spacing w:line="360" w:lineRule="auto"/>
        <w:ind w:firstLine="420" w:firstLineChars="200"/>
        <w:rPr>
          <w:rFonts w:hint="eastAsia"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供应商必须承诺对本项目所涉及的所有电子数据、文件材料以及由采购方提供的所有内部资料、文档、被检查单位商业秘密以及有关工作秘密和信息予以保密；未经采购方书面许可，不得以任何形式向第三方透露本项目的任何内容；供应商必须按照采购方的要求签订相关保密协议，接受采购方指派的第三方信息技术公司对数据保密工作的检查。</w:t>
      </w:r>
    </w:p>
    <w:p w14:paraId="0A69ECBF">
      <w:pPr>
        <w:pStyle w:val="92"/>
        <w:numPr>
          <w:ilvl w:val="0"/>
          <w:numId w:val="8"/>
        </w:numPr>
        <w:spacing w:line="360" w:lineRule="auto"/>
        <w:ind w:firstLineChars="0"/>
        <w:rPr>
          <w:rFonts w:hint="eastAsia" w:ascii="仿宋" w:hAnsi="仿宋" w:eastAsia="仿宋" w:cs="仿宋"/>
          <w:b/>
          <w:bCs/>
          <w:color w:val="auto"/>
          <w:highlight w:val="none"/>
        </w:rPr>
      </w:pPr>
      <w:r>
        <w:rPr>
          <w:rFonts w:hint="eastAsia" w:ascii="仿宋" w:hAnsi="仿宋" w:eastAsia="仿宋" w:cs="仿宋"/>
          <w:b/>
          <w:bCs/>
          <w:color w:val="auto"/>
          <w:highlight w:val="none"/>
        </w:rPr>
        <w:t>支付方式</w:t>
      </w:r>
    </w:p>
    <w:p w14:paraId="6C88AEBB">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Cs w:val="24"/>
          <w:highlight w:val="none"/>
          <w:lang w:val="zh-CN"/>
        </w:rPr>
        <w:t>在甲乙双方签订合同之后7个工作日内，甲方向乙方支付合同价款的70%；剩余款项在乙方出具医保基金第三方大数据分析报告后并得到甲方认可后7个工作日内一次性付清。</w:t>
      </w:r>
    </w:p>
    <w:p w14:paraId="6B6E08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26AF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0319F9BC">
      <w:pPr>
        <w:spacing w:line="480" w:lineRule="auto"/>
        <w:jc w:val="center"/>
        <w:rPr>
          <w:rFonts w:hint="eastAsia" w:ascii="仿宋" w:hAnsi="仿宋" w:eastAsia="仿宋" w:cs="仿宋"/>
          <w:b/>
          <w:color w:val="auto"/>
          <w:sz w:val="24"/>
          <w:highlight w:val="none"/>
        </w:rPr>
      </w:pPr>
    </w:p>
    <w:p w14:paraId="442D10EC">
      <w:pPr>
        <w:spacing w:line="480" w:lineRule="auto"/>
        <w:jc w:val="center"/>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1" w:name="_Toc19273"/>
      <w:bookmarkStart w:id="12" w:name="_Toc28855"/>
      <w:bookmarkStart w:id="13" w:name="_Toc15367"/>
      <w:bookmarkStart w:id="14" w:name="_Toc22967"/>
      <w:bookmarkStart w:id="15" w:name="_Toc20421"/>
      <w:r>
        <w:rPr>
          <w:rFonts w:hint="eastAsia" w:ascii="仿宋" w:hAnsi="仿宋" w:eastAsia="仿宋" w:cs="仿宋"/>
          <w:b/>
          <w:color w:val="auto"/>
          <w:sz w:val="24"/>
          <w:highlight w:val="none"/>
        </w:rPr>
        <w:t>1.1 合同组成部分</w:t>
      </w:r>
      <w:bookmarkEnd w:id="11"/>
      <w:bookmarkEnd w:id="12"/>
      <w:bookmarkEnd w:id="13"/>
      <w:bookmarkEnd w:id="14"/>
      <w:bookmarkEnd w:id="15"/>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6" w:name="_Toc22185"/>
      <w:bookmarkStart w:id="17" w:name="_Toc18585"/>
      <w:bookmarkStart w:id="18" w:name="_Toc6311"/>
      <w:bookmarkStart w:id="19" w:name="_Toc2918"/>
      <w:bookmarkStart w:id="20" w:name="_Toc6773"/>
      <w:r>
        <w:rPr>
          <w:rFonts w:hint="eastAsia" w:ascii="仿宋" w:hAnsi="仿宋" w:eastAsia="仿宋" w:cs="仿宋"/>
          <w:b/>
          <w:color w:val="auto"/>
          <w:sz w:val="24"/>
          <w:highlight w:val="none"/>
        </w:rPr>
        <w:t>1.2 标的</w:t>
      </w:r>
      <w:bookmarkEnd w:id="16"/>
      <w:bookmarkEnd w:id="17"/>
      <w:bookmarkEnd w:id="18"/>
      <w:bookmarkEnd w:id="19"/>
      <w:bookmarkEnd w:id="20"/>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1" w:name="_Toc13918"/>
      <w:bookmarkStart w:id="22" w:name="_Toc1386"/>
      <w:bookmarkStart w:id="23" w:name="_Toc5635"/>
      <w:bookmarkStart w:id="24" w:name="_Toc21124"/>
      <w:bookmarkStart w:id="25"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6" w:name="_Toc14993"/>
      <w:bookmarkStart w:id="27" w:name="_Toc26916"/>
      <w:bookmarkStart w:id="28" w:name="_Toc3654"/>
      <w:bookmarkStart w:id="29" w:name="_Toc30158"/>
      <w:bookmarkStart w:id="30"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6"/>
    <w:bookmarkEnd w:id="27"/>
    <w:bookmarkEnd w:id="28"/>
    <w:bookmarkEnd w:id="29"/>
    <w:bookmarkEnd w:id="30"/>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1" w:name="_Toc10340"/>
      <w:bookmarkStart w:id="32" w:name="_Toc22618"/>
      <w:bookmarkStart w:id="33" w:name="_Toc1814"/>
      <w:bookmarkStart w:id="34" w:name="_Toc4760"/>
      <w:bookmarkStart w:id="35" w:name="_Toc8772"/>
      <w:bookmarkStart w:id="36" w:name="_Toc31421"/>
      <w:bookmarkStart w:id="37" w:name="_Toc3625"/>
      <w:bookmarkStart w:id="38" w:name="_Toc11108"/>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w:t>
      </w:r>
      <w:bookmarkStart w:id="182" w:name="_GoBack"/>
      <w:r>
        <w:rPr>
          <w:rFonts w:hint="eastAsia" w:ascii="仿宋" w:hAnsi="仿宋" w:eastAsia="仿宋" w:cs="仿宋"/>
          <w:color w:val="auto"/>
          <w:kern w:val="0"/>
          <w:sz w:val="24"/>
          <w:highlight w:val="none"/>
        </w:rPr>
        <w:t>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w:t>
      </w:r>
      <w:bookmarkEnd w:id="182"/>
      <w:r>
        <w:rPr>
          <w:rFonts w:hint="eastAsia" w:ascii="仿宋" w:hAnsi="仿宋" w:eastAsia="仿宋" w:cs="仿宋"/>
          <w:color w:val="auto"/>
          <w:kern w:val="0"/>
          <w:sz w:val="24"/>
          <w:highlight w:val="none"/>
        </w:rPr>
        <w:t>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39" w:name="_Toc24662"/>
      <w:bookmarkStart w:id="40" w:name="_Toc5698"/>
      <w:bookmarkStart w:id="41" w:name="_Toc8586"/>
      <w:bookmarkStart w:id="42" w:name="_Toc2375"/>
      <w:bookmarkStart w:id="43" w:name="_Toc3079"/>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4" w:name="_Toc32454"/>
      <w:bookmarkStart w:id="45" w:name="_Toc18683"/>
      <w:bookmarkStart w:id="46" w:name="_Toc9497"/>
      <w:bookmarkStart w:id="47" w:name="_Toc30329"/>
      <w:bookmarkStart w:id="48"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16021"/>
      <w:bookmarkStart w:id="50" w:name="_Toc28375"/>
      <w:bookmarkStart w:id="51" w:name="_Toc15583"/>
      <w:r>
        <w:rPr>
          <w:rFonts w:hint="eastAsia" w:ascii="仿宋" w:hAnsi="仿宋" w:eastAsia="仿宋" w:cs="仿宋"/>
          <w:b/>
          <w:color w:val="auto"/>
          <w:sz w:val="24"/>
          <w:highlight w:val="none"/>
        </w:rPr>
        <w:t>1.9合同争议的解决</w:t>
      </w:r>
      <w:bookmarkEnd w:id="49"/>
      <w:bookmarkEnd w:id="50"/>
      <w:bookmarkEnd w:id="51"/>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2" w:name="_Toc15322"/>
      <w:bookmarkStart w:id="53" w:name="_Toc7245"/>
      <w:bookmarkStart w:id="54" w:name="_Toc11173"/>
      <w:r>
        <w:rPr>
          <w:rFonts w:hint="eastAsia" w:ascii="仿宋" w:hAnsi="仿宋" w:eastAsia="仿宋" w:cs="仿宋"/>
          <w:b/>
          <w:color w:val="auto"/>
          <w:sz w:val="24"/>
          <w:highlight w:val="none"/>
        </w:rPr>
        <w:t>2.0 合同生效</w:t>
      </w:r>
      <w:bookmarkEnd w:id="52"/>
      <w:bookmarkEnd w:id="53"/>
      <w:bookmarkEnd w:id="54"/>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hint="eastAsia" w:ascii="仿宋" w:hAnsi="仿宋" w:eastAsia="仿宋" w:cs="仿宋"/>
          <w:b/>
          <w:color w:val="auto"/>
          <w:sz w:val="24"/>
          <w:highlight w:val="none"/>
        </w:rPr>
      </w:pPr>
      <w:bookmarkStart w:id="55" w:name="_Toc19614"/>
      <w:bookmarkStart w:id="56" w:name="_Ref467379109"/>
      <w:bookmarkStart w:id="57" w:name="_Toc279701240"/>
      <w:bookmarkStart w:id="58" w:name="_Toc28763"/>
      <w:bookmarkStart w:id="59" w:name="_Ref467379094"/>
      <w:bookmarkStart w:id="60" w:name="_Toc487900349"/>
      <w:bookmarkStart w:id="61" w:name="_Ref467379214"/>
      <w:bookmarkStart w:id="62" w:name="_Ref467379195"/>
      <w:bookmarkStart w:id="63" w:name="_Ref467379205"/>
      <w:bookmarkStart w:id="64" w:name="_Ref467378499"/>
      <w:bookmarkStart w:id="65" w:name="_Ref467378463"/>
      <w:bookmarkStart w:id="66" w:name="_Ref467379101"/>
      <w:bookmarkStart w:id="67" w:name="_Toc259093669"/>
      <w:bookmarkStart w:id="68" w:name="_Toc16917"/>
      <w:bookmarkStart w:id="69" w:name="_Ref467378404"/>
      <w:bookmarkStart w:id="70" w:name="_Ref467379225"/>
      <w:r>
        <w:rPr>
          <w:rFonts w:hint="eastAsia" w:ascii="仿宋" w:hAnsi="仿宋" w:eastAsia="仿宋" w:cs="仿宋"/>
          <w:b/>
          <w:color w:val="auto"/>
          <w:sz w:val="24"/>
          <w:highlight w:val="none"/>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360ED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hint="eastAsia" w:ascii="仿宋" w:hAnsi="仿宋" w:eastAsia="仿宋" w:cs="仿宋"/>
          <w:color w:val="auto"/>
          <w:sz w:val="24"/>
          <w:highlight w:val="none"/>
        </w:rPr>
      </w:pPr>
      <w:bookmarkStart w:id="71" w:name="_Ref467378840"/>
      <w:r>
        <w:rPr>
          <w:rFonts w:hint="eastAsia" w:ascii="仿宋" w:hAnsi="仿宋" w:eastAsia="仿宋" w:cs="仿宋"/>
          <w:color w:val="auto"/>
          <w:sz w:val="24"/>
          <w:highlight w:val="none"/>
        </w:rPr>
        <w:t>2.1.4 “甲方”系指与中标或成交供应商签署合同的采购人</w:t>
      </w:r>
      <w:bookmarkEnd w:id="71"/>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hint="eastAsia" w:ascii="仿宋" w:hAnsi="仿宋" w:eastAsia="仿宋" w:cs="仿宋"/>
          <w:color w:val="auto"/>
          <w:sz w:val="24"/>
          <w:highlight w:val="none"/>
        </w:rPr>
      </w:pPr>
      <w:bookmarkStart w:id="72" w:name="_Ref467379400"/>
      <w:r>
        <w:rPr>
          <w:rFonts w:hint="eastAsia" w:ascii="仿宋" w:hAnsi="仿宋" w:eastAsia="仿宋" w:cs="仿宋"/>
          <w:color w:val="auto"/>
          <w:sz w:val="24"/>
          <w:highlight w:val="none"/>
        </w:rPr>
        <w:t>2.1.5 “乙方”系指根据合同约定交付货物的中标或成交供应商</w:t>
      </w:r>
      <w:bookmarkEnd w:id="72"/>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hint="eastAsia" w:ascii="仿宋" w:hAnsi="仿宋" w:eastAsia="仿宋" w:cs="仿宋"/>
          <w:color w:val="auto"/>
          <w:sz w:val="24"/>
          <w:highlight w:val="none"/>
        </w:rPr>
      </w:pPr>
      <w:bookmarkStart w:id="73" w:name="_Ref467379436"/>
      <w:r>
        <w:rPr>
          <w:rFonts w:hint="eastAsia" w:ascii="仿宋" w:hAnsi="仿宋" w:eastAsia="仿宋" w:cs="仿宋"/>
          <w:color w:val="auto"/>
          <w:sz w:val="24"/>
          <w:highlight w:val="none"/>
        </w:rPr>
        <w:t>2.1.6 “现场”系指合同约定货物将要运至或者安装的地点。</w:t>
      </w:r>
      <w:bookmarkEnd w:id="73"/>
    </w:p>
    <w:p w14:paraId="7A9FF55C">
      <w:pPr>
        <w:spacing w:line="560" w:lineRule="exact"/>
        <w:ind w:firstLine="482" w:firstLineChars="200"/>
        <w:outlineLvl w:val="0"/>
        <w:rPr>
          <w:rFonts w:hint="eastAsia" w:ascii="仿宋" w:hAnsi="仿宋" w:eastAsia="仿宋" w:cs="仿宋"/>
          <w:b/>
          <w:color w:val="auto"/>
          <w:sz w:val="24"/>
          <w:highlight w:val="none"/>
        </w:rPr>
      </w:pPr>
      <w:bookmarkStart w:id="74" w:name="_Toc27635"/>
      <w:bookmarkStart w:id="75" w:name="_Toc487900350"/>
      <w:bookmarkStart w:id="76" w:name="_Toc259093670"/>
      <w:bookmarkStart w:id="77" w:name="_Toc13336"/>
      <w:bookmarkStart w:id="78" w:name="_Toc32504"/>
      <w:bookmarkStart w:id="79" w:name="_Toc279701241"/>
      <w:r>
        <w:rPr>
          <w:rFonts w:hint="eastAsia" w:ascii="仿宋" w:hAnsi="仿宋" w:eastAsia="仿宋" w:cs="仿宋"/>
          <w:b/>
          <w:color w:val="auto"/>
          <w:sz w:val="24"/>
          <w:highlight w:val="none"/>
        </w:rPr>
        <w:t>2.2 技术规范</w:t>
      </w:r>
      <w:bookmarkEnd w:id="74"/>
      <w:bookmarkEnd w:id="75"/>
      <w:bookmarkEnd w:id="76"/>
      <w:bookmarkEnd w:id="77"/>
      <w:bookmarkEnd w:id="78"/>
      <w:bookmarkEnd w:id="79"/>
    </w:p>
    <w:p w14:paraId="4E5225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hint="eastAsia" w:ascii="仿宋" w:hAnsi="仿宋" w:eastAsia="仿宋" w:cs="仿宋"/>
          <w:b/>
          <w:color w:val="auto"/>
          <w:sz w:val="24"/>
          <w:highlight w:val="none"/>
        </w:rPr>
      </w:pPr>
      <w:bookmarkStart w:id="80" w:name="_Toc259093671"/>
      <w:bookmarkStart w:id="81" w:name="_Toc31634"/>
      <w:bookmarkStart w:id="82" w:name="_Toc9829"/>
      <w:bookmarkStart w:id="83" w:name="_Toc27853"/>
      <w:bookmarkStart w:id="84" w:name="_Toc279701242"/>
      <w:bookmarkStart w:id="85" w:name="_Toc487900351"/>
      <w:r>
        <w:rPr>
          <w:rFonts w:hint="eastAsia" w:ascii="仿宋" w:hAnsi="仿宋" w:eastAsia="仿宋" w:cs="仿宋"/>
          <w:b/>
          <w:color w:val="auto"/>
          <w:sz w:val="24"/>
          <w:highlight w:val="none"/>
        </w:rPr>
        <w:t>2.3 知识产权</w:t>
      </w:r>
      <w:bookmarkEnd w:id="80"/>
      <w:bookmarkEnd w:id="81"/>
      <w:bookmarkEnd w:id="82"/>
      <w:bookmarkEnd w:id="83"/>
      <w:bookmarkEnd w:id="84"/>
      <w:bookmarkEnd w:id="85"/>
    </w:p>
    <w:p w14:paraId="1FBAFA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hint="eastAsia" w:ascii="仿宋" w:hAnsi="仿宋" w:eastAsia="仿宋" w:cs="仿宋"/>
          <w:b/>
          <w:color w:val="auto"/>
          <w:sz w:val="24"/>
          <w:highlight w:val="none"/>
        </w:rPr>
      </w:pPr>
      <w:bookmarkStart w:id="86" w:name="_Toc29149"/>
      <w:bookmarkStart w:id="87" w:name="_Toc4194"/>
      <w:bookmarkStart w:id="88" w:name="_Toc11932"/>
      <w:r>
        <w:rPr>
          <w:rFonts w:hint="eastAsia" w:ascii="仿宋" w:hAnsi="仿宋" w:eastAsia="仿宋" w:cs="仿宋"/>
          <w:b/>
          <w:color w:val="auto"/>
          <w:sz w:val="24"/>
          <w:highlight w:val="none"/>
        </w:rPr>
        <w:t>2.4 包装和装运</w:t>
      </w:r>
      <w:bookmarkEnd w:id="86"/>
      <w:bookmarkEnd w:id="87"/>
      <w:bookmarkEnd w:id="88"/>
    </w:p>
    <w:p w14:paraId="2250A9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hint="eastAsia" w:ascii="仿宋" w:hAnsi="仿宋" w:eastAsia="仿宋" w:cs="仿宋"/>
          <w:b/>
          <w:color w:val="auto"/>
          <w:sz w:val="24"/>
          <w:highlight w:val="none"/>
        </w:rPr>
      </w:pPr>
      <w:bookmarkStart w:id="89" w:name="_Ref467379536"/>
      <w:bookmarkStart w:id="90" w:name="_Toc259093674"/>
      <w:bookmarkStart w:id="91" w:name="_Ref467379527"/>
      <w:bookmarkStart w:id="92" w:name="_Toc279701245"/>
      <w:bookmarkStart w:id="93" w:name="_Ref467378591"/>
      <w:bookmarkStart w:id="94" w:name="_Toc487900354"/>
      <w:bookmarkStart w:id="95" w:name="_Ref467378541"/>
      <w:bookmarkStart w:id="96" w:name="_Ref467379542"/>
      <w:bookmarkStart w:id="97" w:name="_Toc19074"/>
      <w:bookmarkStart w:id="98" w:name="_Toc30272"/>
      <w:bookmarkStart w:id="99" w:name="_Toc26182"/>
      <w:r>
        <w:rPr>
          <w:rFonts w:hint="eastAsia" w:ascii="仿宋" w:hAnsi="仿宋" w:eastAsia="仿宋" w:cs="仿宋"/>
          <w:b/>
          <w:color w:val="auto"/>
          <w:sz w:val="24"/>
          <w:highlight w:val="none"/>
        </w:rPr>
        <w:t>2.</w:t>
      </w:r>
      <w:bookmarkEnd w:id="89"/>
      <w:bookmarkEnd w:id="90"/>
      <w:bookmarkEnd w:id="91"/>
      <w:bookmarkEnd w:id="92"/>
      <w:bookmarkEnd w:id="93"/>
      <w:bookmarkEnd w:id="94"/>
      <w:bookmarkEnd w:id="95"/>
      <w:bookmarkEnd w:id="96"/>
      <w:r>
        <w:rPr>
          <w:rFonts w:hint="eastAsia" w:ascii="仿宋" w:hAnsi="仿宋" w:eastAsia="仿宋" w:cs="仿宋"/>
          <w:b/>
          <w:color w:val="auto"/>
          <w:sz w:val="24"/>
          <w:highlight w:val="none"/>
        </w:rPr>
        <w:t>5 履约检查和问题反馈</w:t>
      </w:r>
      <w:bookmarkEnd w:id="97"/>
      <w:bookmarkEnd w:id="98"/>
      <w:bookmarkEnd w:id="99"/>
    </w:p>
    <w:p w14:paraId="1E90EF19">
      <w:pPr>
        <w:spacing w:line="560" w:lineRule="exact"/>
        <w:ind w:firstLine="480" w:firstLineChars="200"/>
        <w:rPr>
          <w:rFonts w:hint="eastAsia" w:ascii="仿宋" w:hAnsi="仿宋" w:eastAsia="仿宋" w:cs="仿宋"/>
          <w:color w:val="auto"/>
          <w:sz w:val="24"/>
          <w:highlight w:val="none"/>
        </w:rPr>
      </w:pPr>
      <w:bookmarkStart w:id="100" w:name="_Ref467379657"/>
      <w:r>
        <w:rPr>
          <w:rFonts w:hint="eastAsia" w:ascii="仿宋" w:hAnsi="仿宋" w:eastAsia="仿宋" w:cs="仿宋"/>
          <w:color w:val="auto"/>
          <w:sz w:val="24"/>
          <w:highlight w:val="none"/>
        </w:rPr>
        <w:t>2.5.1</w:t>
      </w:r>
      <w:bookmarkEnd w:id="100"/>
      <w:bookmarkStart w:id="101" w:name="_Toc186431854"/>
      <w:bookmarkStart w:id="102" w:name="_Toc279701247"/>
      <w:bookmarkStart w:id="103" w:name="_Toc259093676"/>
      <w:bookmarkStart w:id="104" w:name="_Toc487900357"/>
      <w:bookmarkStart w:id="105" w:name="_Ref467379807"/>
      <w:bookmarkStart w:id="106"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color w:val="auto"/>
          <w:sz w:val="24"/>
          <w:highlight w:val="none"/>
        </w:rPr>
        <w:t>。</w:t>
      </w:r>
    </w:p>
    <w:bookmarkEnd w:id="102"/>
    <w:bookmarkEnd w:id="103"/>
    <w:bookmarkEnd w:id="104"/>
    <w:bookmarkEnd w:id="105"/>
    <w:bookmarkEnd w:id="106"/>
    <w:bookmarkEnd w:id="107"/>
    <w:p w14:paraId="000B5F36">
      <w:pPr>
        <w:spacing w:line="560" w:lineRule="exact"/>
        <w:ind w:firstLine="482" w:firstLineChars="200"/>
        <w:outlineLvl w:val="0"/>
        <w:rPr>
          <w:rFonts w:hint="eastAsia" w:ascii="仿宋" w:hAnsi="仿宋" w:eastAsia="仿宋" w:cs="仿宋"/>
          <w:b/>
          <w:color w:val="auto"/>
          <w:sz w:val="24"/>
          <w:highlight w:val="none"/>
        </w:rPr>
      </w:pPr>
      <w:bookmarkStart w:id="108" w:name="_Toc487900358"/>
      <w:bookmarkStart w:id="109" w:name="_Toc279701248"/>
      <w:bookmarkStart w:id="110" w:name="_Ref467379852"/>
      <w:bookmarkStart w:id="111" w:name="_Toc259093677"/>
      <w:bookmarkStart w:id="112" w:name="_Ref467379923"/>
      <w:bookmarkStart w:id="113" w:name="_Ref467379863"/>
      <w:bookmarkStart w:id="114" w:name="_Toc16110"/>
      <w:bookmarkStart w:id="115" w:name="_Toc774"/>
      <w:bookmarkStart w:id="116" w:name="_Toc3225"/>
      <w:r>
        <w:rPr>
          <w:rFonts w:hint="eastAsia" w:ascii="仿宋" w:hAnsi="仿宋" w:eastAsia="仿宋" w:cs="仿宋"/>
          <w:b/>
          <w:color w:val="auto"/>
          <w:sz w:val="24"/>
          <w:highlight w:val="none"/>
        </w:rPr>
        <w:t>2.6 技术资料</w:t>
      </w:r>
      <w:bookmarkEnd w:id="108"/>
      <w:bookmarkEnd w:id="109"/>
      <w:bookmarkEnd w:id="110"/>
      <w:bookmarkEnd w:id="111"/>
      <w:bookmarkEnd w:id="112"/>
      <w:bookmarkEnd w:id="113"/>
      <w:r>
        <w:rPr>
          <w:rFonts w:hint="eastAsia" w:ascii="仿宋" w:hAnsi="仿宋" w:eastAsia="仿宋" w:cs="仿宋"/>
          <w:b/>
          <w:color w:val="auto"/>
          <w:sz w:val="24"/>
          <w:highlight w:val="none"/>
        </w:rPr>
        <w:t>和保密义务</w:t>
      </w:r>
      <w:bookmarkEnd w:id="114"/>
      <w:bookmarkEnd w:id="115"/>
      <w:bookmarkEnd w:id="116"/>
    </w:p>
    <w:p w14:paraId="2C49F3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hint="eastAsia" w:ascii="仿宋" w:hAnsi="仿宋" w:eastAsia="仿宋" w:cs="仿宋"/>
          <w:b/>
          <w:color w:val="auto"/>
          <w:sz w:val="24"/>
          <w:highlight w:val="none"/>
        </w:rPr>
      </w:pPr>
      <w:bookmarkStart w:id="117" w:name="_Toc7860"/>
      <w:r>
        <w:rPr>
          <w:rFonts w:hint="eastAsia" w:ascii="仿宋" w:hAnsi="仿宋" w:eastAsia="仿宋" w:cs="仿宋"/>
          <w:b/>
          <w:color w:val="auto"/>
          <w:sz w:val="24"/>
          <w:highlight w:val="none"/>
        </w:rPr>
        <w:t>2.7 质量保证</w:t>
      </w:r>
      <w:bookmarkEnd w:id="117"/>
    </w:p>
    <w:p w14:paraId="5E24F1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hint="eastAsia" w:ascii="仿宋" w:hAnsi="仿宋" w:eastAsia="仿宋" w:cs="仿宋"/>
          <w:b/>
          <w:color w:val="auto"/>
          <w:sz w:val="24"/>
          <w:highlight w:val="none"/>
        </w:rPr>
      </w:pPr>
      <w:bookmarkStart w:id="118" w:name="_Toc17244"/>
      <w:bookmarkStart w:id="119" w:name="_Toc259093681"/>
      <w:bookmarkStart w:id="120" w:name="_Toc487900362"/>
      <w:bookmarkStart w:id="121" w:name="_Toc279701252"/>
      <w:r>
        <w:rPr>
          <w:rFonts w:hint="eastAsia" w:ascii="仿宋" w:hAnsi="仿宋" w:eastAsia="仿宋" w:cs="仿宋"/>
          <w:b/>
          <w:color w:val="auto"/>
          <w:sz w:val="24"/>
          <w:highlight w:val="none"/>
        </w:rPr>
        <w:t>2.8 货物的风险负担</w:t>
      </w:r>
      <w:bookmarkEnd w:id="118"/>
    </w:p>
    <w:p w14:paraId="39EA884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hint="eastAsia" w:ascii="仿宋" w:hAnsi="仿宋" w:eastAsia="仿宋" w:cs="仿宋"/>
          <w:b/>
          <w:color w:val="auto"/>
          <w:sz w:val="24"/>
          <w:highlight w:val="none"/>
        </w:rPr>
      </w:pPr>
      <w:bookmarkStart w:id="122" w:name="_Toc14055"/>
      <w:r>
        <w:rPr>
          <w:rFonts w:hint="eastAsia" w:ascii="仿宋" w:hAnsi="仿宋" w:eastAsia="仿宋" w:cs="仿宋"/>
          <w:b/>
          <w:color w:val="auto"/>
          <w:sz w:val="24"/>
          <w:highlight w:val="none"/>
        </w:rPr>
        <w:t>2.9 延迟交货</w:t>
      </w:r>
      <w:bookmarkEnd w:id="119"/>
      <w:bookmarkEnd w:id="120"/>
      <w:bookmarkEnd w:id="121"/>
      <w:bookmarkEnd w:id="122"/>
    </w:p>
    <w:p w14:paraId="52472D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hint="eastAsia" w:ascii="仿宋" w:hAnsi="仿宋" w:eastAsia="仿宋" w:cs="仿宋"/>
          <w:b/>
          <w:color w:val="auto"/>
          <w:sz w:val="24"/>
          <w:highlight w:val="none"/>
        </w:rPr>
      </w:pPr>
      <w:bookmarkStart w:id="123" w:name="_Toc7502"/>
      <w:bookmarkStart w:id="124" w:name="_Toc487900364"/>
      <w:bookmarkStart w:id="125" w:name="_Toc279701254"/>
      <w:bookmarkStart w:id="126" w:name="_Toc259093683"/>
      <w:bookmarkStart w:id="127" w:name="_Ref467378121"/>
      <w:r>
        <w:rPr>
          <w:rFonts w:hint="eastAsia" w:ascii="仿宋" w:hAnsi="仿宋" w:eastAsia="仿宋" w:cs="仿宋"/>
          <w:b/>
          <w:color w:val="auto"/>
          <w:sz w:val="24"/>
          <w:highlight w:val="none"/>
        </w:rPr>
        <w:t>2.10 合同变更</w:t>
      </w:r>
      <w:bookmarkEnd w:id="123"/>
    </w:p>
    <w:p w14:paraId="0C5360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8" w:name="_Toc487900369"/>
      <w:bookmarkStart w:id="129" w:name="_Toc259093688"/>
      <w:bookmarkStart w:id="130" w:name="_Toc279701259"/>
    </w:p>
    <w:p w14:paraId="596F432F">
      <w:pPr>
        <w:spacing w:line="560" w:lineRule="exact"/>
        <w:ind w:firstLine="482" w:firstLineChars="200"/>
        <w:outlineLvl w:val="0"/>
        <w:rPr>
          <w:rFonts w:hint="eastAsia" w:ascii="仿宋" w:hAnsi="仿宋" w:eastAsia="仿宋" w:cs="仿宋"/>
          <w:b/>
          <w:color w:val="auto"/>
          <w:sz w:val="24"/>
          <w:highlight w:val="none"/>
        </w:rPr>
      </w:pPr>
      <w:bookmarkStart w:id="131" w:name="_Toc15237"/>
      <w:bookmarkStart w:id="132" w:name="_Toc22955"/>
      <w:bookmarkStart w:id="133" w:name="_Toc10366"/>
      <w:r>
        <w:rPr>
          <w:rFonts w:hint="eastAsia" w:ascii="仿宋" w:hAnsi="仿宋" w:eastAsia="仿宋" w:cs="仿宋"/>
          <w:b/>
          <w:color w:val="auto"/>
          <w:sz w:val="24"/>
          <w:highlight w:val="none"/>
        </w:rPr>
        <w:t>2.11 合同转让</w:t>
      </w:r>
      <w:bookmarkEnd w:id="128"/>
      <w:bookmarkEnd w:id="129"/>
      <w:bookmarkEnd w:id="130"/>
      <w:r>
        <w:rPr>
          <w:rFonts w:hint="eastAsia" w:ascii="仿宋" w:hAnsi="仿宋" w:eastAsia="仿宋" w:cs="仿宋"/>
          <w:b/>
          <w:color w:val="auto"/>
          <w:sz w:val="24"/>
          <w:highlight w:val="none"/>
        </w:rPr>
        <w:t>和分包</w:t>
      </w:r>
      <w:bookmarkEnd w:id="131"/>
      <w:bookmarkEnd w:id="132"/>
      <w:bookmarkEnd w:id="133"/>
    </w:p>
    <w:p w14:paraId="7925B5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hint="eastAsia" w:ascii="仿宋" w:hAnsi="仿宋" w:eastAsia="仿宋" w:cs="仿宋"/>
          <w:b/>
          <w:color w:val="auto"/>
          <w:sz w:val="24"/>
          <w:highlight w:val="none"/>
        </w:rPr>
      </w:pPr>
      <w:bookmarkStart w:id="134" w:name="_Toc16508"/>
      <w:bookmarkStart w:id="135" w:name="_Toc14066"/>
      <w:bookmarkStart w:id="136" w:name="_Toc13566"/>
      <w:r>
        <w:rPr>
          <w:rFonts w:hint="eastAsia" w:ascii="仿宋" w:hAnsi="仿宋" w:eastAsia="仿宋" w:cs="仿宋"/>
          <w:b/>
          <w:color w:val="auto"/>
          <w:sz w:val="24"/>
          <w:highlight w:val="none"/>
        </w:rPr>
        <w:t>2.12 不可抗力</w:t>
      </w:r>
      <w:bookmarkEnd w:id="134"/>
      <w:bookmarkEnd w:id="135"/>
      <w:bookmarkEnd w:id="136"/>
    </w:p>
    <w:p w14:paraId="0AE97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hint="eastAsia" w:ascii="仿宋" w:hAnsi="仿宋" w:eastAsia="仿宋" w:cs="仿宋"/>
          <w:b/>
          <w:color w:val="auto"/>
          <w:sz w:val="24"/>
          <w:highlight w:val="none"/>
        </w:rPr>
      </w:pPr>
      <w:bookmarkStart w:id="137" w:name="_Toc689"/>
      <w:bookmarkStart w:id="138" w:name="_Toc30676"/>
      <w:bookmarkStart w:id="139" w:name="_Toc487900365"/>
      <w:bookmarkStart w:id="140" w:name="_Toc279701255"/>
      <w:bookmarkStart w:id="141" w:name="_Toc259093684"/>
      <w:bookmarkStart w:id="142" w:name="_Toc6969"/>
      <w:r>
        <w:rPr>
          <w:rFonts w:hint="eastAsia" w:ascii="仿宋" w:hAnsi="仿宋" w:eastAsia="仿宋" w:cs="仿宋"/>
          <w:b/>
          <w:color w:val="auto"/>
          <w:sz w:val="24"/>
          <w:highlight w:val="none"/>
        </w:rPr>
        <w:t>2.13 税费</w:t>
      </w:r>
      <w:bookmarkEnd w:id="137"/>
      <w:bookmarkEnd w:id="138"/>
      <w:bookmarkEnd w:id="139"/>
      <w:bookmarkEnd w:id="140"/>
      <w:bookmarkEnd w:id="141"/>
      <w:bookmarkEnd w:id="142"/>
    </w:p>
    <w:p w14:paraId="2F46F5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hint="eastAsia" w:ascii="仿宋" w:hAnsi="仿宋" w:eastAsia="仿宋" w:cs="仿宋"/>
          <w:b/>
          <w:color w:val="auto"/>
          <w:sz w:val="24"/>
          <w:highlight w:val="none"/>
        </w:rPr>
      </w:pPr>
      <w:bookmarkStart w:id="143" w:name="_Toc259093687"/>
      <w:bookmarkStart w:id="144" w:name="_Toc16959"/>
      <w:bookmarkStart w:id="145" w:name="_Toc487900368"/>
      <w:bookmarkStart w:id="146" w:name="_Toc279701258"/>
      <w:bookmarkStart w:id="147" w:name="_Toc8298"/>
      <w:bookmarkStart w:id="148" w:name="_Toc7102"/>
      <w:r>
        <w:rPr>
          <w:rFonts w:hint="eastAsia" w:ascii="仿宋" w:hAnsi="仿宋" w:eastAsia="仿宋" w:cs="仿宋"/>
          <w:b/>
          <w:color w:val="auto"/>
          <w:sz w:val="24"/>
          <w:highlight w:val="none"/>
        </w:rPr>
        <w:t>2.14乙方破产</w:t>
      </w:r>
      <w:bookmarkEnd w:id="143"/>
      <w:bookmarkEnd w:id="144"/>
      <w:bookmarkEnd w:id="145"/>
      <w:bookmarkEnd w:id="146"/>
      <w:bookmarkEnd w:id="147"/>
      <w:bookmarkEnd w:id="148"/>
    </w:p>
    <w:p w14:paraId="172D9C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hint="eastAsia" w:ascii="仿宋" w:hAnsi="仿宋" w:eastAsia="仿宋" w:cs="仿宋"/>
          <w:b/>
          <w:color w:val="auto"/>
          <w:sz w:val="24"/>
          <w:highlight w:val="none"/>
        </w:rPr>
      </w:pPr>
      <w:bookmarkStart w:id="149" w:name="_Toc29333"/>
      <w:bookmarkStart w:id="150" w:name="_Toc6134"/>
      <w:bookmarkStart w:id="151" w:name="_Toc15387"/>
      <w:r>
        <w:rPr>
          <w:rFonts w:hint="eastAsia" w:ascii="仿宋" w:hAnsi="仿宋" w:eastAsia="仿宋" w:cs="仿宋"/>
          <w:b/>
          <w:color w:val="auto"/>
          <w:sz w:val="24"/>
          <w:highlight w:val="none"/>
        </w:rPr>
        <w:t>2.15 合同中止、终止</w:t>
      </w:r>
      <w:bookmarkEnd w:id="149"/>
      <w:bookmarkEnd w:id="150"/>
      <w:bookmarkEnd w:id="151"/>
    </w:p>
    <w:p w14:paraId="30DEA7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hint="eastAsia" w:ascii="仿宋" w:hAnsi="仿宋" w:eastAsia="仿宋" w:cs="仿宋"/>
          <w:b/>
          <w:color w:val="auto"/>
          <w:sz w:val="24"/>
          <w:highlight w:val="none"/>
        </w:rPr>
      </w:pPr>
      <w:bookmarkStart w:id="152" w:name="_Toc14563"/>
      <w:bookmarkStart w:id="153" w:name="_Toc6596"/>
      <w:bookmarkStart w:id="154" w:name="_Toc1125"/>
      <w:r>
        <w:rPr>
          <w:rFonts w:hint="eastAsia" w:ascii="仿宋" w:hAnsi="仿宋" w:eastAsia="仿宋" w:cs="仿宋"/>
          <w:b/>
          <w:color w:val="auto"/>
          <w:sz w:val="24"/>
          <w:highlight w:val="none"/>
        </w:rPr>
        <w:t>2.16检验和验收</w:t>
      </w:r>
      <w:bookmarkEnd w:id="152"/>
      <w:bookmarkEnd w:id="153"/>
      <w:bookmarkEnd w:id="154"/>
    </w:p>
    <w:p w14:paraId="2512401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4"/>
    <w:bookmarkEnd w:id="125"/>
    <w:bookmarkEnd w:id="126"/>
    <w:bookmarkEnd w:id="127"/>
    <w:p w14:paraId="1C659249">
      <w:pPr>
        <w:spacing w:line="560" w:lineRule="exact"/>
        <w:ind w:firstLine="482" w:firstLineChars="200"/>
        <w:outlineLvl w:val="0"/>
        <w:rPr>
          <w:rFonts w:hint="eastAsia" w:ascii="仿宋" w:hAnsi="仿宋" w:eastAsia="仿宋" w:cs="仿宋"/>
          <w:b/>
          <w:color w:val="auto"/>
          <w:sz w:val="24"/>
          <w:highlight w:val="none"/>
        </w:rPr>
      </w:pPr>
      <w:bookmarkStart w:id="155" w:name="_Toc279701261"/>
      <w:bookmarkStart w:id="156" w:name="_Toc259093690"/>
      <w:bookmarkStart w:id="157" w:name="_Toc487900371"/>
      <w:bookmarkStart w:id="158" w:name="_Toc25182"/>
      <w:bookmarkStart w:id="159" w:name="_Toc19604"/>
      <w:bookmarkStart w:id="160" w:name="_Toc11284"/>
      <w:r>
        <w:rPr>
          <w:rFonts w:hint="eastAsia" w:ascii="仿宋" w:hAnsi="仿宋" w:eastAsia="仿宋" w:cs="仿宋"/>
          <w:b/>
          <w:color w:val="auto"/>
          <w:sz w:val="24"/>
          <w:highlight w:val="none"/>
        </w:rPr>
        <w:t>2.17 通知</w:t>
      </w:r>
      <w:bookmarkEnd w:id="155"/>
      <w:bookmarkEnd w:id="156"/>
      <w:bookmarkEnd w:id="157"/>
      <w:r>
        <w:rPr>
          <w:rFonts w:hint="eastAsia" w:ascii="仿宋" w:hAnsi="仿宋" w:eastAsia="仿宋" w:cs="仿宋"/>
          <w:b/>
          <w:color w:val="auto"/>
          <w:sz w:val="24"/>
          <w:highlight w:val="none"/>
        </w:rPr>
        <w:t>和送达</w:t>
      </w:r>
      <w:bookmarkEnd w:id="158"/>
      <w:bookmarkEnd w:id="159"/>
      <w:bookmarkEnd w:id="160"/>
    </w:p>
    <w:p w14:paraId="0467D0A3">
      <w:pPr>
        <w:spacing w:line="560" w:lineRule="exact"/>
        <w:ind w:firstLine="480" w:firstLineChars="200"/>
        <w:rPr>
          <w:rFonts w:hint="eastAsia" w:ascii="仿宋" w:hAnsi="仿宋" w:eastAsia="仿宋" w:cs="仿宋"/>
          <w:color w:val="auto"/>
          <w:sz w:val="24"/>
          <w:highlight w:val="none"/>
        </w:rPr>
      </w:pPr>
      <w:bookmarkStart w:id="161" w:name="_Toc3135"/>
      <w:bookmarkStart w:id="162" w:name="_Toc6698"/>
      <w:bookmarkStart w:id="163" w:name="_Toc279701262"/>
      <w:bookmarkStart w:id="164" w:name="_Toc259093691"/>
      <w:bookmarkStart w:id="165"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1"/>
      <w:bookmarkEnd w:id="162"/>
    </w:p>
    <w:p w14:paraId="6E02052A">
      <w:pPr>
        <w:spacing w:line="560" w:lineRule="exact"/>
        <w:ind w:firstLine="480" w:firstLineChars="200"/>
        <w:rPr>
          <w:rFonts w:hint="eastAsia" w:ascii="仿宋" w:hAnsi="仿宋" w:eastAsia="仿宋" w:cs="仿宋"/>
          <w:color w:val="auto"/>
          <w:sz w:val="24"/>
          <w:highlight w:val="none"/>
        </w:rPr>
      </w:pPr>
      <w:bookmarkStart w:id="166" w:name="_Toc23294"/>
      <w:bookmarkStart w:id="167"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14:paraId="3E022699">
      <w:pPr>
        <w:spacing w:line="560" w:lineRule="exact"/>
        <w:ind w:firstLine="482" w:firstLineChars="200"/>
        <w:outlineLvl w:val="0"/>
        <w:rPr>
          <w:rFonts w:hint="eastAsia" w:ascii="仿宋" w:hAnsi="仿宋" w:eastAsia="仿宋" w:cs="仿宋"/>
          <w:b/>
          <w:color w:val="auto"/>
          <w:sz w:val="24"/>
          <w:highlight w:val="none"/>
        </w:rPr>
      </w:pPr>
      <w:bookmarkStart w:id="168" w:name="_Toc30599"/>
      <w:bookmarkStart w:id="169" w:name="_Toc18540"/>
      <w:bookmarkStart w:id="170" w:name="_Toc4355"/>
      <w:r>
        <w:rPr>
          <w:rFonts w:hint="eastAsia" w:ascii="仿宋" w:hAnsi="仿宋" w:eastAsia="仿宋" w:cs="仿宋"/>
          <w:b/>
          <w:color w:val="auto"/>
          <w:sz w:val="24"/>
          <w:highlight w:val="none"/>
        </w:rPr>
        <w:t>2.18 计量单位</w:t>
      </w:r>
      <w:bookmarkEnd w:id="163"/>
      <w:bookmarkEnd w:id="164"/>
      <w:bookmarkEnd w:id="165"/>
      <w:bookmarkEnd w:id="168"/>
      <w:bookmarkEnd w:id="169"/>
      <w:bookmarkEnd w:id="170"/>
    </w:p>
    <w:p w14:paraId="6F8C82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hint="eastAsia" w:ascii="仿宋" w:hAnsi="仿宋" w:eastAsia="仿宋" w:cs="仿宋"/>
          <w:b/>
          <w:color w:val="auto"/>
          <w:sz w:val="24"/>
          <w:highlight w:val="none"/>
        </w:rPr>
      </w:pPr>
      <w:bookmarkStart w:id="171" w:name="_Toc18567"/>
      <w:bookmarkStart w:id="172" w:name="_Toc259093692"/>
      <w:bookmarkStart w:id="173" w:name="_Toc10330"/>
      <w:bookmarkStart w:id="174" w:name="_Toc12773"/>
      <w:bookmarkStart w:id="175" w:name="_Toc487900373"/>
      <w:bookmarkStart w:id="176" w:name="_Toc27970126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F90E1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hint="eastAsia" w:ascii="仿宋" w:hAnsi="仿宋" w:eastAsia="仿宋" w:cs="仿宋"/>
          <w:b/>
          <w:color w:val="auto"/>
          <w:sz w:val="24"/>
          <w:highlight w:val="none"/>
        </w:rPr>
      </w:pPr>
      <w:bookmarkStart w:id="177" w:name="_Toc19890"/>
      <w:bookmarkStart w:id="178" w:name="_Toc14001"/>
      <w:bookmarkStart w:id="179" w:name="_Toc6885"/>
      <w:r>
        <w:rPr>
          <w:rFonts w:hint="eastAsia" w:ascii="仿宋" w:hAnsi="仿宋" w:eastAsia="仿宋" w:cs="仿宋"/>
          <w:b/>
          <w:color w:val="auto"/>
          <w:sz w:val="24"/>
          <w:highlight w:val="none"/>
        </w:rPr>
        <w:t>2.20 合同份数</w:t>
      </w:r>
      <w:bookmarkEnd w:id="177"/>
      <w:bookmarkEnd w:id="178"/>
      <w:bookmarkEnd w:id="179"/>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0" w:name="_Toc331685784"/>
      <w:bookmarkEnd w:id="180"/>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43"/>
        <w:tblW w:w="930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20"/>
        <w:gridCol w:w="6488"/>
        <w:gridCol w:w="836"/>
      </w:tblGrid>
      <w:tr w14:paraId="3EB8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62" w:type="dxa"/>
            <w:noWrap/>
            <w:vAlign w:val="center"/>
          </w:tcPr>
          <w:p w14:paraId="19F77929">
            <w:pPr>
              <w:widowControl/>
              <w:contextualSpacing/>
              <w:jc w:val="center"/>
              <w:rPr>
                <w:rFonts w:hint="eastAsia" w:ascii="仿宋" w:hAnsi="仿宋" w:eastAsia="仿宋" w:cs="仿宋"/>
                <w:b/>
                <w:bCs/>
                <w:color w:val="auto"/>
                <w:szCs w:val="21"/>
                <w:highlight w:val="none"/>
              </w:rPr>
            </w:pPr>
            <w:bookmarkStart w:id="181" w:name="_Hlk43039012"/>
            <w:r>
              <w:rPr>
                <w:rFonts w:hint="eastAsia" w:ascii="仿宋" w:hAnsi="仿宋" w:eastAsia="仿宋" w:cs="仿宋"/>
                <w:b/>
                <w:bCs/>
                <w:color w:val="auto"/>
                <w:szCs w:val="21"/>
                <w:highlight w:val="none"/>
              </w:rPr>
              <w:t>序号</w:t>
            </w:r>
          </w:p>
        </w:tc>
        <w:tc>
          <w:tcPr>
            <w:tcW w:w="1220" w:type="dxa"/>
            <w:noWrap w:val="0"/>
            <w:vAlign w:val="center"/>
          </w:tcPr>
          <w:p w14:paraId="5EF62581">
            <w:pPr>
              <w:widowControl/>
              <w:contextualSpacing/>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评审项目</w:t>
            </w:r>
          </w:p>
        </w:tc>
        <w:tc>
          <w:tcPr>
            <w:tcW w:w="6488" w:type="dxa"/>
            <w:noWrap w:val="0"/>
            <w:vAlign w:val="center"/>
          </w:tcPr>
          <w:p w14:paraId="7DC92BA4">
            <w:pPr>
              <w:widowControl/>
              <w:contextualSpacing/>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评审标准</w:t>
            </w:r>
          </w:p>
        </w:tc>
        <w:tc>
          <w:tcPr>
            <w:tcW w:w="836" w:type="dxa"/>
            <w:noWrap w:val="0"/>
            <w:vAlign w:val="center"/>
          </w:tcPr>
          <w:p w14:paraId="22454E74">
            <w:pPr>
              <w:widowControl/>
              <w:contextualSpacing/>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14:paraId="6ABB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noWrap/>
            <w:vAlign w:val="center"/>
          </w:tcPr>
          <w:p w14:paraId="38317BD8">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0" w:type="dxa"/>
            <w:noWrap w:val="0"/>
            <w:vAlign w:val="center"/>
          </w:tcPr>
          <w:p w14:paraId="5D2B592B">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综合实力</w:t>
            </w:r>
          </w:p>
        </w:tc>
        <w:tc>
          <w:tcPr>
            <w:tcW w:w="6488" w:type="dxa"/>
            <w:noWrap w:val="0"/>
            <w:vAlign w:val="center"/>
          </w:tcPr>
          <w:p w14:paraId="01AA131B">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供应商拥有响应的软件系统资质，每提供一个证书1分,最高3分。</w:t>
            </w:r>
          </w:p>
        </w:tc>
        <w:tc>
          <w:tcPr>
            <w:tcW w:w="836" w:type="dxa"/>
            <w:noWrap w:val="0"/>
            <w:vAlign w:val="center"/>
          </w:tcPr>
          <w:p w14:paraId="69505A45">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11F2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62" w:type="dxa"/>
            <w:noWrap/>
            <w:vAlign w:val="center"/>
          </w:tcPr>
          <w:p w14:paraId="5A2F2DA0">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0" w:type="dxa"/>
            <w:noWrap w:val="0"/>
            <w:vAlign w:val="center"/>
          </w:tcPr>
          <w:p w14:paraId="79E8A1F8">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自主知识产权</w:t>
            </w:r>
          </w:p>
        </w:tc>
        <w:tc>
          <w:tcPr>
            <w:tcW w:w="6488" w:type="dxa"/>
            <w:noWrap w:val="0"/>
            <w:vAlign w:val="center"/>
          </w:tcPr>
          <w:p w14:paraId="3B3D233A">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供应商具有大数据应用、医院管理相关的软件产品著作权登记证书，每提供一个证书得2分,最高10分。</w:t>
            </w:r>
          </w:p>
        </w:tc>
        <w:tc>
          <w:tcPr>
            <w:tcW w:w="836" w:type="dxa"/>
            <w:noWrap w:val="0"/>
            <w:vAlign w:val="center"/>
          </w:tcPr>
          <w:p w14:paraId="3575F73D">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14:paraId="5BF4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2" w:type="dxa"/>
            <w:noWrap/>
            <w:vAlign w:val="center"/>
          </w:tcPr>
          <w:p w14:paraId="36600015">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0" w:type="dxa"/>
            <w:noWrap w:val="0"/>
            <w:vAlign w:val="center"/>
          </w:tcPr>
          <w:p w14:paraId="7F0B920C">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类似项目业绩</w:t>
            </w:r>
          </w:p>
        </w:tc>
        <w:tc>
          <w:tcPr>
            <w:tcW w:w="6488" w:type="dxa"/>
            <w:noWrap w:val="0"/>
            <w:vAlign w:val="center"/>
          </w:tcPr>
          <w:p w14:paraId="70DF67AE">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供应商提供</w:t>
            </w:r>
            <w:r>
              <w:rPr>
                <w:rFonts w:hint="eastAsia" w:ascii="仿宋" w:hAnsi="仿宋" w:eastAsia="仿宋" w:cs="仿宋"/>
                <w:color w:val="auto"/>
                <w:szCs w:val="21"/>
                <w:highlight w:val="none"/>
                <w:lang w:val="en-US" w:eastAsia="zh-CN"/>
              </w:rPr>
              <w:t>2022年7月1日（以合同签订时间为准）</w:t>
            </w:r>
            <w:r>
              <w:rPr>
                <w:rFonts w:hint="eastAsia" w:ascii="仿宋" w:hAnsi="仿宋" w:eastAsia="仿宋" w:cs="仿宋"/>
                <w:color w:val="auto"/>
                <w:szCs w:val="21"/>
                <w:highlight w:val="none"/>
              </w:rPr>
              <w:t>完成的类似项目业绩合同，同一业主单位只能计算一次。每提供一个项目合同得1分，最高2分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需提供合同复印件加盖投标人公章，未提供不得分</w:t>
            </w:r>
            <w:r>
              <w:rPr>
                <w:rFonts w:hint="eastAsia" w:ascii="仿宋" w:hAnsi="仿宋" w:eastAsia="仿宋" w:cs="仿宋"/>
                <w:color w:val="auto"/>
                <w:szCs w:val="21"/>
                <w:highlight w:val="none"/>
              </w:rPr>
              <w:t>。</w:t>
            </w:r>
          </w:p>
        </w:tc>
        <w:tc>
          <w:tcPr>
            <w:tcW w:w="836" w:type="dxa"/>
            <w:noWrap w:val="0"/>
            <w:vAlign w:val="center"/>
          </w:tcPr>
          <w:p w14:paraId="591FD065">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14:paraId="46DD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62" w:type="dxa"/>
            <w:noWrap/>
            <w:vAlign w:val="center"/>
          </w:tcPr>
          <w:p w14:paraId="6728A0A6">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220" w:type="dxa"/>
            <w:noWrap w:val="0"/>
            <w:vAlign w:val="center"/>
          </w:tcPr>
          <w:p w14:paraId="6122AE71">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项目服务方案</w:t>
            </w:r>
          </w:p>
        </w:tc>
        <w:tc>
          <w:tcPr>
            <w:tcW w:w="6488" w:type="dxa"/>
            <w:noWrap w:val="0"/>
            <w:vAlign w:val="center"/>
          </w:tcPr>
          <w:p w14:paraId="15CC1329">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供应商根据本项目需求，制定科学合理的项目服务方案，主要包括数据采集、数据处理、数据库建设、数据建模（项目常规事项规则和DRG监管事项规则及事项方法体系）分析等必须的方案内容</w:t>
            </w:r>
            <w:r>
              <w:rPr>
                <w:rFonts w:hint="eastAsia" w:ascii="仿宋" w:hAnsi="仿宋" w:eastAsia="仿宋" w:cs="仿宋"/>
                <w:color w:val="auto"/>
                <w:szCs w:val="21"/>
                <w:highlight w:val="none"/>
                <w:lang w:val="en-US" w:eastAsia="zh-CN"/>
              </w:rPr>
              <w:t>进行评审（0-20分）。</w:t>
            </w:r>
          </w:p>
        </w:tc>
        <w:tc>
          <w:tcPr>
            <w:tcW w:w="836" w:type="dxa"/>
            <w:noWrap w:val="0"/>
            <w:vAlign w:val="center"/>
          </w:tcPr>
          <w:p w14:paraId="23740582">
            <w:pPr>
              <w:widowControl/>
              <w:contextualSpacing/>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w:t>
            </w:r>
          </w:p>
        </w:tc>
      </w:tr>
      <w:tr w14:paraId="7C8E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62" w:type="dxa"/>
            <w:noWrap/>
            <w:vAlign w:val="center"/>
          </w:tcPr>
          <w:p w14:paraId="292D4393">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220" w:type="dxa"/>
            <w:noWrap w:val="0"/>
            <w:vAlign w:val="center"/>
          </w:tcPr>
          <w:p w14:paraId="56FDAE83">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项目实施方案</w:t>
            </w:r>
          </w:p>
        </w:tc>
        <w:tc>
          <w:tcPr>
            <w:tcW w:w="6488" w:type="dxa"/>
            <w:noWrap w:val="0"/>
            <w:vAlign w:val="center"/>
          </w:tcPr>
          <w:p w14:paraId="3FB8DAC3">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供应商根据本项目需求，制定科学合理的项目实施方案，主要包括项目组织管理、项目实施进度安排及控制措施、项目质量管理及保障措施、保密管理等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必须的方案内容</w:t>
            </w:r>
            <w:r>
              <w:rPr>
                <w:rFonts w:hint="eastAsia" w:ascii="仿宋" w:hAnsi="仿宋" w:eastAsia="仿宋" w:cs="仿宋"/>
                <w:color w:val="auto"/>
                <w:szCs w:val="21"/>
                <w:highlight w:val="none"/>
                <w:lang w:val="en-US" w:eastAsia="zh-CN"/>
              </w:rPr>
              <w:t>进行评审（0-35）。</w:t>
            </w:r>
          </w:p>
        </w:tc>
        <w:tc>
          <w:tcPr>
            <w:tcW w:w="836" w:type="dxa"/>
            <w:noWrap w:val="0"/>
            <w:vAlign w:val="center"/>
          </w:tcPr>
          <w:p w14:paraId="41330A24">
            <w:pPr>
              <w:widowControl/>
              <w:contextualSpacing/>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35</w:t>
            </w:r>
          </w:p>
        </w:tc>
      </w:tr>
      <w:tr w14:paraId="197C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62" w:type="dxa"/>
            <w:noWrap/>
            <w:vAlign w:val="center"/>
          </w:tcPr>
          <w:p w14:paraId="7F2E09E0">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0" w:type="dxa"/>
            <w:noWrap w:val="0"/>
            <w:vAlign w:val="center"/>
          </w:tcPr>
          <w:p w14:paraId="21D94659">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服务人员配置</w:t>
            </w:r>
          </w:p>
        </w:tc>
        <w:tc>
          <w:tcPr>
            <w:tcW w:w="6488" w:type="dxa"/>
            <w:noWrap w:val="0"/>
            <w:vAlign w:val="center"/>
          </w:tcPr>
          <w:p w14:paraId="6E367C80">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供应商服务团队人员需包含计算机技术、大数据分析和软件开发，医学、药学和护理学，会计和审计等各类相关专业技术人员，并提供人员证书材料，要求如下：</w:t>
            </w:r>
          </w:p>
          <w:p w14:paraId="399BFA26">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1、项目负责人具有</w:t>
            </w:r>
            <w:r>
              <w:rPr>
                <w:rFonts w:hint="eastAsia" w:ascii="仿宋" w:hAnsi="仿宋" w:eastAsia="仿宋" w:cs="仿宋"/>
                <w:color w:val="auto"/>
                <w:szCs w:val="21"/>
                <w:highlight w:val="none"/>
                <w:lang w:val="en-US" w:eastAsia="zh-CN"/>
              </w:rPr>
              <w:t>人社和工信等部门颁发的项目管理师</w:t>
            </w:r>
            <w:r>
              <w:rPr>
                <w:rFonts w:hint="eastAsia" w:ascii="仿宋" w:hAnsi="仿宋" w:eastAsia="仿宋" w:cs="仿宋"/>
                <w:color w:val="auto"/>
                <w:szCs w:val="21"/>
                <w:highlight w:val="none"/>
              </w:rPr>
              <w:t>证书，得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分，不提供不得分；</w:t>
            </w:r>
          </w:p>
          <w:p w14:paraId="5806B84E">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2、具有大数据分析师、软件开发等相关专业人员，提供资质证书，每提供一名得1分，最多得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p w14:paraId="33C6FA11">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3、具有医学、药学和护理学等相关专业人员，提供资质证书，每提供一名得1分，最多得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p w14:paraId="70EEBD2B">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4、具有会计和审计等相关专业人员，提供资质证书，每提供一名得1分，最多得2分。</w:t>
            </w:r>
          </w:p>
          <w:p w14:paraId="7576799C">
            <w:pPr>
              <w:widowControl/>
              <w:contextualSpacing/>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(以上评审每人只能计算1个证书，需提供人员简历，身份证、学历学位证和相关专业资质证书的复印件并</w:t>
            </w:r>
            <w:r>
              <w:rPr>
                <w:rFonts w:hint="eastAsia" w:ascii="仿宋" w:hAnsi="仿宋" w:eastAsia="仿宋" w:cs="仿宋"/>
                <w:color w:val="auto"/>
                <w:szCs w:val="21"/>
                <w:highlight w:val="none"/>
                <w:lang w:val="en-US" w:eastAsia="zh-CN"/>
              </w:rPr>
              <w:t>均</w:t>
            </w:r>
            <w:r>
              <w:rPr>
                <w:rFonts w:hint="eastAsia" w:ascii="仿宋" w:hAnsi="仿宋" w:eastAsia="仿宋" w:cs="仿宋"/>
                <w:color w:val="auto"/>
                <w:szCs w:val="21"/>
                <w:highlight w:val="none"/>
              </w:rPr>
              <w:t>加盖</w:t>
            </w:r>
            <w:r>
              <w:rPr>
                <w:rFonts w:hint="eastAsia" w:ascii="仿宋" w:hAnsi="仿宋" w:eastAsia="仿宋" w:cs="仿宋"/>
                <w:color w:val="auto"/>
                <w:szCs w:val="21"/>
                <w:highlight w:val="none"/>
                <w:lang w:val="en-US" w:eastAsia="zh-CN"/>
              </w:rPr>
              <w:t>投标人</w:t>
            </w:r>
            <w:r>
              <w:rPr>
                <w:rFonts w:hint="eastAsia" w:ascii="仿宋" w:hAnsi="仿宋" w:eastAsia="仿宋" w:cs="仿宋"/>
                <w:color w:val="auto"/>
                <w:szCs w:val="21"/>
                <w:highlight w:val="none"/>
              </w:rPr>
              <w:t>公章。）</w:t>
            </w:r>
          </w:p>
        </w:tc>
        <w:tc>
          <w:tcPr>
            <w:tcW w:w="836" w:type="dxa"/>
            <w:noWrap w:val="0"/>
            <w:vAlign w:val="center"/>
          </w:tcPr>
          <w:p w14:paraId="6DE9926F">
            <w:pPr>
              <w:widowControl/>
              <w:contextualSpacing/>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bookmarkEnd w:id="181"/>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20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8F81DC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14:paraId="2568A2AF">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14:paraId="4D95C3EA">
      <w:pPr>
        <w:pStyle w:val="18"/>
        <w:spacing w:line="800" w:lineRule="atLeast"/>
        <w:ind w:left="0" w:leftChars="0"/>
        <w:rPr>
          <w:rFonts w:hint="eastAsia" w:ascii="仿宋" w:hAnsi="仿宋" w:eastAsia="仿宋" w:cs="仿宋"/>
          <w:b/>
          <w:color w:val="auto"/>
          <w:sz w:val="36"/>
          <w:szCs w:val="36"/>
          <w:highlight w:val="none"/>
        </w:rPr>
      </w:pPr>
    </w:p>
    <w:p w14:paraId="619DF818">
      <w:pPr>
        <w:pStyle w:val="18"/>
        <w:spacing w:line="800" w:lineRule="atLeast"/>
        <w:ind w:left="0" w:leftChars="0"/>
        <w:rPr>
          <w:rFonts w:hint="eastAsia" w:ascii="仿宋" w:hAnsi="仿宋" w:eastAsia="仿宋" w:cs="仿宋"/>
          <w:b/>
          <w:color w:val="auto"/>
          <w:sz w:val="36"/>
          <w:szCs w:val="36"/>
          <w:highlight w:val="none"/>
        </w:rPr>
      </w:pPr>
    </w:p>
    <w:p w14:paraId="22E9617B">
      <w:pPr>
        <w:pStyle w:val="18"/>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33BD1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医保智能监管服务（包含DRG监管）项目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医保智能监管服务（包含DRG监管）项目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绍兴市中医院医保智能监管服务（包含DRG监管）项目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TYJZ2025</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5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60C6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38AD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AF03B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3AF5E0">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14:paraId="465224B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0D1EA5CE">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14:paraId="37FB1581">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4ED660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45EDF811">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A5F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0A6C0FE1">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14:paraId="6E577393">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14:paraId="2E95BEED">
      <w:pPr>
        <w:pageBreakBefore/>
        <w:rPr>
          <w:rFonts w:hint="eastAsia" w:ascii="仿宋" w:hAnsi="仿宋" w:eastAsia="仿宋" w:cs="仿宋"/>
          <w:b/>
          <w:color w:val="auto"/>
          <w:sz w:val="32"/>
          <w:szCs w:val="32"/>
          <w:highlight w:val="none"/>
        </w:rPr>
      </w:pPr>
    </w:p>
    <w:p w14:paraId="51DA02CC">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14:paraId="1E994F2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1C69DBF9">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643A593">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3FC343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112C28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1BE3FA">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2AD8758">
      <w:pPr>
        <w:ind w:right="420" w:firstLine="5880" w:firstLineChars="2450"/>
        <w:jc w:val="left"/>
        <w:rPr>
          <w:rFonts w:hint="eastAsia" w:ascii="仿宋" w:hAnsi="仿宋" w:eastAsia="仿宋" w:cs="仿宋"/>
          <w:color w:val="auto"/>
          <w:sz w:val="24"/>
          <w:highlight w:val="none"/>
        </w:rPr>
      </w:pPr>
    </w:p>
    <w:p w14:paraId="1B8BB3E8">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2E22395E">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3B5B04B9">
      <w:pPr>
        <w:jc w:val="center"/>
        <w:rPr>
          <w:rFonts w:hint="eastAsia" w:ascii="仿宋" w:hAnsi="仿宋" w:eastAsia="仿宋" w:cs="仿宋"/>
          <w:b/>
          <w:color w:val="auto"/>
          <w:sz w:val="32"/>
          <w:highlight w:val="none"/>
        </w:rPr>
      </w:pPr>
    </w:p>
    <w:p w14:paraId="0FFB3F69">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10EE4FC">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241C35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14:paraId="69DE3C07">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14:paraId="1495B49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07930C6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E3873DC">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3278B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EB2072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8F2FCD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0055462">
      <w:pPr>
        <w:ind w:right="420" w:firstLine="5880" w:firstLineChars="2450"/>
        <w:jc w:val="left"/>
        <w:rPr>
          <w:rFonts w:hint="eastAsia" w:ascii="仿宋" w:hAnsi="仿宋" w:eastAsia="仿宋" w:cs="仿宋"/>
          <w:color w:val="auto"/>
          <w:sz w:val="24"/>
          <w:highlight w:val="none"/>
        </w:rPr>
      </w:pPr>
    </w:p>
    <w:p w14:paraId="07ADC482">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081DE31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23E1E0AC">
      <w:pPr>
        <w:rPr>
          <w:rFonts w:hint="eastAsia" w:ascii="仿宋" w:hAnsi="仿宋" w:eastAsia="仿宋" w:cs="仿宋"/>
          <w:color w:val="auto"/>
          <w:sz w:val="24"/>
          <w:highlight w:val="none"/>
        </w:rPr>
      </w:pPr>
    </w:p>
    <w:p w14:paraId="207C1351">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0E6D8EE7">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0B52C4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14:paraId="59E3585B">
      <w:pPr>
        <w:rPr>
          <w:rFonts w:hint="eastAsia" w:ascii="仿宋" w:hAnsi="仿宋" w:eastAsia="仿宋" w:cs="仿宋"/>
          <w:color w:val="auto"/>
          <w:sz w:val="24"/>
          <w:highlight w:val="none"/>
        </w:rPr>
      </w:pPr>
    </w:p>
    <w:p w14:paraId="20D7C4CF">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13BE27E4">
      <w:pPr>
        <w:spacing w:line="588" w:lineRule="exact"/>
        <w:rPr>
          <w:rFonts w:hint="eastAsia" w:ascii="仿宋" w:hAnsi="仿宋" w:eastAsia="仿宋" w:cs="仿宋"/>
          <w:b/>
          <w:color w:val="auto"/>
          <w:spacing w:val="6"/>
          <w:sz w:val="30"/>
          <w:szCs w:val="30"/>
          <w:highlight w:val="none"/>
        </w:rPr>
      </w:pPr>
    </w:p>
    <w:p w14:paraId="430D10EB">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3D910A3">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C9B01F6">
      <w:pPr>
        <w:spacing w:line="588" w:lineRule="exact"/>
        <w:ind w:firstLine="480" w:firstLineChars="200"/>
        <w:rPr>
          <w:rFonts w:hint="eastAsia" w:ascii="仿宋" w:hAnsi="仿宋" w:eastAsia="仿宋" w:cs="仿宋"/>
          <w:color w:val="auto"/>
          <w:sz w:val="24"/>
          <w:highlight w:val="none"/>
        </w:rPr>
      </w:pPr>
    </w:p>
    <w:p w14:paraId="5B021ADE">
      <w:pPr>
        <w:spacing w:line="588" w:lineRule="exact"/>
        <w:ind w:firstLine="480" w:firstLineChars="200"/>
        <w:rPr>
          <w:rFonts w:hint="eastAsia" w:ascii="仿宋" w:hAnsi="仿宋" w:eastAsia="仿宋" w:cs="仿宋"/>
          <w:color w:val="auto"/>
          <w:sz w:val="24"/>
          <w:highlight w:val="none"/>
        </w:rPr>
      </w:pPr>
    </w:p>
    <w:p w14:paraId="193E0A81">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14:paraId="0FE7892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5294EE0E">
      <w:pPr>
        <w:rPr>
          <w:rFonts w:hint="eastAsia" w:ascii="仿宋" w:hAnsi="仿宋" w:eastAsia="仿宋" w:cs="仿宋"/>
          <w:color w:val="auto"/>
          <w:sz w:val="24"/>
          <w:highlight w:val="none"/>
        </w:rPr>
      </w:pPr>
    </w:p>
    <w:p w14:paraId="12F5B01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14:paraId="609E6DBA">
      <w:pPr>
        <w:rPr>
          <w:rFonts w:hint="eastAsia" w:ascii="仿宋" w:hAnsi="仿宋" w:eastAsia="仿宋" w:cs="仿宋"/>
          <w:color w:val="auto"/>
          <w:highlight w:val="none"/>
        </w:rPr>
      </w:pPr>
    </w:p>
    <w:p w14:paraId="04AA20AF">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14:paraId="0DFB30A6">
      <w:pPr>
        <w:ind w:firstLine="420" w:firstLineChars="200"/>
        <w:rPr>
          <w:rFonts w:hint="eastAsia" w:ascii="仿宋" w:hAnsi="仿宋" w:eastAsia="仿宋" w:cs="仿宋"/>
          <w:color w:val="auto"/>
          <w:highlight w:val="none"/>
        </w:rPr>
      </w:pPr>
    </w:p>
    <w:p w14:paraId="3FBD7C2C">
      <w:pPr>
        <w:ind w:firstLine="420" w:firstLineChars="200"/>
        <w:rPr>
          <w:rFonts w:hint="eastAsia" w:ascii="仿宋" w:hAnsi="仿宋" w:eastAsia="仿宋" w:cs="仿宋"/>
          <w:color w:val="auto"/>
          <w:highlight w:val="none"/>
        </w:rPr>
      </w:pPr>
    </w:p>
    <w:p w14:paraId="64375E2A">
      <w:pPr>
        <w:ind w:firstLine="420" w:firstLineChars="200"/>
        <w:rPr>
          <w:rFonts w:hint="eastAsia" w:ascii="仿宋" w:hAnsi="仿宋" w:eastAsia="仿宋" w:cs="仿宋"/>
          <w:color w:val="auto"/>
          <w:highlight w:val="none"/>
        </w:rPr>
      </w:pPr>
    </w:p>
    <w:p w14:paraId="34894149">
      <w:pPr>
        <w:ind w:firstLine="420" w:firstLineChars="200"/>
        <w:rPr>
          <w:rFonts w:hint="eastAsia" w:ascii="仿宋" w:hAnsi="仿宋" w:eastAsia="仿宋" w:cs="仿宋"/>
          <w:color w:val="auto"/>
          <w:highlight w:val="none"/>
        </w:rPr>
      </w:pPr>
    </w:p>
    <w:p w14:paraId="263225A0">
      <w:pPr>
        <w:rPr>
          <w:rFonts w:hint="eastAsia" w:ascii="仿宋" w:hAnsi="仿宋" w:eastAsia="仿宋" w:cs="仿宋"/>
          <w:b/>
          <w:color w:val="auto"/>
          <w:sz w:val="24"/>
          <w:highlight w:val="none"/>
        </w:rPr>
      </w:pPr>
    </w:p>
    <w:p w14:paraId="1A724D7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45997AB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41CCA3B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B5112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810929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F4756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BEA0A9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BB49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2959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14:paraId="67F94E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A6E2C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7D75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54178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7EF1F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B07D0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D5D32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5EC41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9FE896">
      <w:pPr>
        <w:widowControl/>
        <w:jc w:val="left"/>
        <w:rPr>
          <w:rFonts w:hint="eastAsia" w:ascii="仿宋" w:hAnsi="仿宋" w:eastAsia="仿宋" w:cs="仿宋"/>
          <w:color w:val="auto"/>
          <w:kern w:val="0"/>
          <w:sz w:val="24"/>
          <w:highlight w:val="none"/>
        </w:rPr>
      </w:pPr>
    </w:p>
    <w:p w14:paraId="712A911C">
      <w:pPr>
        <w:widowControl/>
        <w:jc w:val="left"/>
        <w:rPr>
          <w:rFonts w:hint="eastAsia" w:ascii="仿宋" w:hAnsi="仿宋" w:eastAsia="仿宋" w:cs="仿宋"/>
          <w:color w:val="auto"/>
          <w:kern w:val="0"/>
          <w:sz w:val="24"/>
          <w:highlight w:val="none"/>
        </w:rPr>
      </w:pPr>
    </w:p>
    <w:p w14:paraId="784F7D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AB585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88EB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FAFCC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96AA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4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2197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4AEC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D4D0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73D9B8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3A329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684E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04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7E2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9F1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52E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A4F7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1B6894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5AF5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7465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C39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367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032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49F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E19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E2750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7215F264">
            <w:pPr>
              <w:widowControl/>
              <w:jc w:val="left"/>
              <w:rPr>
                <w:rFonts w:hint="eastAsia" w:ascii="仿宋" w:hAnsi="仿宋" w:eastAsia="仿宋" w:cs="仿宋"/>
                <w:color w:val="auto"/>
                <w:kern w:val="0"/>
                <w:sz w:val="24"/>
                <w:highlight w:val="none"/>
              </w:rPr>
            </w:pPr>
          </w:p>
        </w:tc>
        <w:tc>
          <w:tcPr>
            <w:tcW w:w="1560" w:type="dxa"/>
            <w:vAlign w:val="center"/>
          </w:tcPr>
          <w:p w14:paraId="16569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DE1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945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553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5EA8F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28C5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D25DA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65CB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9A9E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257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6AC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6AD53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C281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D17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2C46D7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9A135C1">
            <w:pPr>
              <w:widowControl/>
              <w:jc w:val="left"/>
              <w:rPr>
                <w:rFonts w:hint="eastAsia" w:ascii="仿宋" w:hAnsi="仿宋" w:eastAsia="仿宋" w:cs="仿宋"/>
                <w:color w:val="auto"/>
                <w:kern w:val="0"/>
                <w:sz w:val="24"/>
                <w:highlight w:val="none"/>
              </w:rPr>
            </w:pPr>
          </w:p>
        </w:tc>
        <w:tc>
          <w:tcPr>
            <w:tcW w:w="1560" w:type="dxa"/>
            <w:vAlign w:val="center"/>
          </w:tcPr>
          <w:p w14:paraId="24F76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2709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52A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402D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596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FD85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6ABE0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17CD4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34FF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85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69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429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543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0617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B7B36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9703C7E">
            <w:pPr>
              <w:widowControl/>
              <w:jc w:val="left"/>
              <w:rPr>
                <w:rFonts w:hint="eastAsia" w:ascii="仿宋" w:hAnsi="仿宋" w:eastAsia="仿宋" w:cs="仿宋"/>
                <w:color w:val="auto"/>
                <w:kern w:val="0"/>
                <w:sz w:val="24"/>
                <w:highlight w:val="none"/>
              </w:rPr>
            </w:pPr>
          </w:p>
        </w:tc>
        <w:tc>
          <w:tcPr>
            <w:tcW w:w="1560" w:type="dxa"/>
            <w:vAlign w:val="center"/>
          </w:tcPr>
          <w:p w14:paraId="59E8A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B8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721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70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4DA6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4679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45FCE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4EF9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ED15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329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8B3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4ED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5297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F135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3EF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7652866">
            <w:pPr>
              <w:widowControl/>
              <w:jc w:val="left"/>
              <w:rPr>
                <w:rFonts w:hint="eastAsia" w:ascii="仿宋" w:hAnsi="仿宋" w:eastAsia="仿宋" w:cs="仿宋"/>
                <w:color w:val="auto"/>
                <w:kern w:val="0"/>
                <w:sz w:val="24"/>
                <w:highlight w:val="none"/>
              </w:rPr>
            </w:pPr>
          </w:p>
        </w:tc>
        <w:tc>
          <w:tcPr>
            <w:tcW w:w="1560" w:type="dxa"/>
            <w:vAlign w:val="center"/>
          </w:tcPr>
          <w:p w14:paraId="6E55B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237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F48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EB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717D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A84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D7DF9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2F3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CE19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A35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97F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61D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989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4B5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7ED64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5F26BB6">
            <w:pPr>
              <w:widowControl/>
              <w:jc w:val="left"/>
              <w:rPr>
                <w:rFonts w:hint="eastAsia" w:ascii="仿宋" w:hAnsi="仿宋" w:eastAsia="仿宋" w:cs="仿宋"/>
                <w:color w:val="auto"/>
                <w:kern w:val="0"/>
                <w:sz w:val="24"/>
                <w:highlight w:val="none"/>
              </w:rPr>
            </w:pPr>
          </w:p>
        </w:tc>
        <w:tc>
          <w:tcPr>
            <w:tcW w:w="1560" w:type="dxa"/>
            <w:vAlign w:val="center"/>
          </w:tcPr>
          <w:p w14:paraId="0218D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57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D30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BDA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9A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2EA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DCBB4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6AA9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AB40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4FC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10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98C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B9A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EE73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A85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415761A">
            <w:pPr>
              <w:widowControl/>
              <w:jc w:val="left"/>
              <w:rPr>
                <w:rFonts w:hint="eastAsia" w:ascii="仿宋" w:hAnsi="仿宋" w:eastAsia="仿宋" w:cs="仿宋"/>
                <w:color w:val="auto"/>
                <w:kern w:val="0"/>
                <w:sz w:val="24"/>
                <w:highlight w:val="none"/>
              </w:rPr>
            </w:pPr>
          </w:p>
        </w:tc>
        <w:tc>
          <w:tcPr>
            <w:tcW w:w="1560" w:type="dxa"/>
            <w:vAlign w:val="center"/>
          </w:tcPr>
          <w:p w14:paraId="51CE9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998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63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4B83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872A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0319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00876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DE33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FDF5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ECD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E6B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0B7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23B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450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543F6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373D41A">
            <w:pPr>
              <w:widowControl/>
              <w:jc w:val="left"/>
              <w:rPr>
                <w:rFonts w:hint="eastAsia" w:ascii="仿宋" w:hAnsi="仿宋" w:eastAsia="仿宋" w:cs="仿宋"/>
                <w:color w:val="auto"/>
                <w:kern w:val="0"/>
                <w:sz w:val="24"/>
                <w:highlight w:val="none"/>
              </w:rPr>
            </w:pPr>
          </w:p>
        </w:tc>
        <w:tc>
          <w:tcPr>
            <w:tcW w:w="1560" w:type="dxa"/>
            <w:vAlign w:val="center"/>
          </w:tcPr>
          <w:p w14:paraId="7B4C2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0A78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ED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CA3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4705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AD0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88E1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F3B7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81F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49A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D8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E71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7D7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6C5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D512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3933">
            <w:pPr>
              <w:widowControl/>
              <w:jc w:val="left"/>
              <w:rPr>
                <w:rFonts w:hint="eastAsia" w:ascii="仿宋" w:hAnsi="仿宋" w:eastAsia="仿宋" w:cs="仿宋"/>
                <w:color w:val="auto"/>
                <w:kern w:val="0"/>
                <w:sz w:val="24"/>
                <w:highlight w:val="none"/>
              </w:rPr>
            </w:pPr>
          </w:p>
        </w:tc>
        <w:tc>
          <w:tcPr>
            <w:tcW w:w="1560" w:type="dxa"/>
            <w:vAlign w:val="center"/>
          </w:tcPr>
          <w:p w14:paraId="007F7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6F5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D2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37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69F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6F4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ED5C6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0076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480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5A1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420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1E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AA2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5B6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70AE0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7B4FB83">
            <w:pPr>
              <w:widowControl/>
              <w:jc w:val="left"/>
              <w:rPr>
                <w:rFonts w:hint="eastAsia" w:ascii="仿宋" w:hAnsi="仿宋" w:eastAsia="仿宋" w:cs="仿宋"/>
                <w:color w:val="auto"/>
                <w:kern w:val="0"/>
                <w:sz w:val="24"/>
                <w:highlight w:val="none"/>
              </w:rPr>
            </w:pPr>
          </w:p>
        </w:tc>
        <w:tc>
          <w:tcPr>
            <w:tcW w:w="1560" w:type="dxa"/>
            <w:vAlign w:val="center"/>
          </w:tcPr>
          <w:p w14:paraId="4A276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77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F2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B6D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A12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360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DA06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865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EB4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FD8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822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8E6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C570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96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CD968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B2D7BE6">
            <w:pPr>
              <w:widowControl/>
              <w:jc w:val="left"/>
              <w:rPr>
                <w:rFonts w:hint="eastAsia" w:ascii="仿宋" w:hAnsi="仿宋" w:eastAsia="仿宋" w:cs="仿宋"/>
                <w:color w:val="auto"/>
                <w:kern w:val="0"/>
                <w:sz w:val="24"/>
                <w:highlight w:val="none"/>
              </w:rPr>
            </w:pPr>
          </w:p>
        </w:tc>
        <w:tc>
          <w:tcPr>
            <w:tcW w:w="1560" w:type="dxa"/>
            <w:vAlign w:val="center"/>
          </w:tcPr>
          <w:p w14:paraId="68416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63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3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3A5F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023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A67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61AA6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BA50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5C86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B7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A53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B66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A10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5C5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65F42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E32C67E">
            <w:pPr>
              <w:widowControl/>
              <w:jc w:val="left"/>
              <w:rPr>
                <w:rFonts w:hint="eastAsia" w:ascii="仿宋" w:hAnsi="仿宋" w:eastAsia="仿宋" w:cs="仿宋"/>
                <w:color w:val="auto"/>
                <w:kern w:val="0"/>
                <w:sz w:val="24"/>
                <w:highlight w:val="none"/>
              </w:rPr>
            </w:pPr>
          </w:p>
        </w:tc>
        <w:tc>
          <w:tcPr>
            <w:tcW w:w="1560" w:type="dxa"/>
            <w:vAlign w:val="center"/>
          </w:tcPr>
          <w:p w14:paraId="41CC5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129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BF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BA64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8C3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029B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FAF0F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2DB1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6E5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75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491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CF15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3962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454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B471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5889C7CC">
            <w:pPr>
              <w:widowControl/>
              <w:jc w:val="left"/>
              <w:rPr>
                <w:rFonts w:hint="eastAsia" w:ascii="仿宋" w:hAnsi="仿宋" w:eastAsia="仿宋" w:cs="仿宋"/>
                <w:color w:val="auto"/>
                <w:kern w:val="0"/>
                <w:sz w:val="24"/>
                <w:highlight w:val="none"/>
              </w:rPr>
            </w:pPr>
          </w:p>
        </w:tc>
        <w:tc>
          <w:tcPr>
            <w:tcW w:w="1560" w:type="dxa"/>
            <w:vAlign w:val="center"/>
          </w:tcPr>
          <w:p w14:paraId="55F2A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796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5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5E4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98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8BF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20DFB7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B83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D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3A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0FB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908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F90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6D99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A14F7E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7C78">
            <w:pPr>
              <w:widowControl/>
              <w:jc w:val="left"/>
              <w:rPr>
                <w:rFonts w:hint="eastAsia" w:ascii="仿宋" w:hAnsi="仿宋" w:eastAsia="仿宋" w:cs="仿宋"/>
                <w:color w:val="auto"/>
                <w:kern w:val="0"/>
                <w:sz w:val="24"/>
                <w:highlight w:val="none"/>
              </w:rPr>
            </w:pPr>
          </w:p>
        </w:tc>
        <w:tc>
          <w:tcPr>
            <w:tcW w:w="1560" w:type="dxa"/>
            <w:vAlign w:val="center"/>
          </w:tcPr>
          <w:p w14:paraId="3B47D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D7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8A7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557F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96D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93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4BEBCD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0B5A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5379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AC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5B5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BA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DEB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578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12048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835B29E">
            <w:pPr>
              <w:widowControl/>
              <w:jc w:val="left"/>
              <w:rPr>
                <w:rFonts w:hint="eastAsia" w:ascii="仿宋" w:hAnsi="仿宋" w:eastAsia="仿宋" w:cs="仿宋"/>
                <w:color w:val="auto"/>
                <w:kern w:val="0"/>
                <w:sz w:val="24"/>
                <w:highlight w:val="none"/>
              </w:rPr>
            </w:pPr>
          </w:p>
        </w:tc>
        <w:tc>
          <w:tcPr>
            <w:tcW w:w="1560" w:type="dxa"/>
            <w:vAlign w:val="center"/>
          </w:tcPr>
          <w:p w14:paraId="33E55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D89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B5E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7915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080A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9F43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68A4E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62864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3054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26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29E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0A3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427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0CF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2C6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65719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6C3F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D63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00EF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C294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7AF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65C3421">
      <w:pPr>
        <w:widowControl/>
        <w:jc w:val="left"/>
        <w:rPr>
          <w:rFonts w:hint="eastAsia" w:ascii="仿宋" w:hAnsi="仿宋" w:eastAsia="仿宋" w:cs="仿宋"/>
          <w:color w:val="auto"/>
          <w:kern w:val="0"/>
          <w:sz w:val="24"/>
          <w:highlight w:val="none"/>
        </w:rPr>
      </w:pPr>
    </w:p>
    <w:p w14:paraId="348A56E5">
      <w:pPr>
        <w:widowControl/>
        <w:jc w:val="left"/>
        <w:rPr>
          <w:rFonts w:hint="eastAsia" w:ascii="仿宋" w:hAnsi="仿宋" w:eastAsia="仿宋" w:cs="仿宋"/>
          <w:color w:val="auto"/>
          <w:kern w:val="0"/>
          <w:sz w:val="24"/>
          <w:highlight w:val="none"/>
        </w:rPr>
      </w:pPr>
    </w:p>
    <w:p w14:paraId="120D3E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9BF5A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A923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705B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EFC3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5C650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E249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710D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761C8D6">
      <w:pPr>
        <w:widowControl/>
        <w:jc w:val="left"/>
        <w:rPr>
          <w:rFonts w:hint="eastAsia" w:ascii="仿宋" w:hAnsi="仿宋" w:eastAsia="仿宋" w:cs="仿宋"/>
          <w:color w:val="auto"/>
          <w:kern w:val="0"/>
          <w:sz w:val="18"/>
          <w:szCs w:val="18"/>
          <w:highlight w:val="none"/>
        </w:rPr>
      </w:pPr>
    </w:p>
    <w:p w14:paraId="10C0E02A">
      <w:pPr>
        <w:widowControl/>
        <w:jc w:val="left"/>
        <w:rPr>
          <w:rFonts w:hint="eastAsia" w:ascii="仿宋" w:hAnsi="仿宋" w:eastAsia="仿宋" w:cs="仿宋"/>
          <w:color w:val="auto"/>
          <w:kern w:val="0"/>
          <w:sz w:val="18"/>
          <w:szCs w:val="18"/>
          <w:highlight w:val="none"/>
        </w:rPr>
      </w:pPr>
    </w:p>
    <w:p w14:paraId="79EA1CE7">
      <w:pPr>
        <w:widowControl/>
        <w:jc w:val="left"/>
        <w:rPr>
          <w:rFonts w:hint="eastAsia" w:ascii="仿宋" w:hAnsi="仿宋" w:eastAsia="仿宋" w:cs="仿宋"/>
          <w:color w:val="auto"/>
          <w:kern w:val="0"/>
          <w:sz w:val="18"/>
          <w:szCs w:val="18"/>
          <w:highlight w:val="none"/>
        </w:rPr>
      </w:pPr>
    </w:p>
    <w:p w14:paraId="0991B61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BB322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B0C27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AF0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DEC87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E70C6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AF2F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779B4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3E5C6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1BE6C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6E5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0705B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C7FCB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E9891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5B785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D0E02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8D0DC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8529C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B6C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7343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720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BAE0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A381E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B28C6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84321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F578B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4B49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97E161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14:paraId="6D9668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EA50D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EE87D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B5606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12F8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4640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73CE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ABC2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4516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8329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5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6EE66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04D1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6B0C81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5960C">
            <w:pPr>
              <w:widowControl/>
              <w:jc w:val="left"/>
              <w:rPr>
                <w:rFonts w:hint="eastAsia" w:ascii="仿宋" w:hAnsi="仿宋" w:eastAsia="仿宋" w:cs="仿宋"/>
                <w:color w:val="auto"/>
                <w:kern w:val="0"/>
                <w:sz w:val="24"/>
                <w:highlight w:val="none"/>
              </w:rPr>
            </w:pPr>
          </w:p>
        </w:tc>
        <w:tc>
          <w:tcPr>
            <w:tcW w:w="606" w:type="dxa"/>
            <w:vAlign w:val="center"/>
          </w:tcPr>
          <w:p w14:paraId="37703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F4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8FE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039DD0">
            <w:pPr>
              <w:widowControl/>
              <w:jc w:val="left"/>
              <w:rPr>
                <w:rFonts w:hint="eastAsia" w:ascii="仿宋" w:hAnsi="仿宋" w:eastAsia="仿宋" w:cs="仿宋"/>
                <w:color w:val="auto"/>
                <w:kern w:val="0"/>
                <w:sz w:val="24"/>
                <w:highlight w:val="none"/>
              </w:rPr>
            </w:pPr>
          </w:p>
        </w:tc>
        <w:tc>
          <w:tcPr>
            <w:tcW w:w="1025" w:type="dxa"/>
            <w:vMerge w:val="continue"/>
            <w:vAlign w:val="center"/>
          </w:tcPr>
          <w:p w14:paraId="1ED9130A">
            <w:pPr>
              <w:widowControl/>
              <w:jc w:val="left"/>
              <w:rPr>
                <w:rFonts w:hint="eastAsia" w:ascii="仿宋" w:hAnsi="仿宋" w:eastAsia="仿宋" w:cs="仿宋"/>
                <w:color w:val="auto"/>
                <w:kern w:val="0"/>
                <w:sz w:val="24"/>
                <w:highlight w:val="none"/>
              </w:rPr>
            </w:pPr>
          </w:p>
        </w:tc>
        <w:tc>
          <w:tcPr>
            <w:tcW w:w="2836" w:type="dxa"/>
            <w:vMerge w:val="continue"/>
            <w:vAlign w:val="center"/>
          </w:tcPr>
          <w:p w14:paraId="046061C1">
            <w:pPr>
              <w:widowControl/>
              <w:jc w:val="left"/>
              <w:rPr>
                <w:rFonts w:hint="eastAsia" w:ascii="仿宋" w:hAnsi="仿宋" w:eastAsia="仿宋" w:cs="仿宋"/>
                <w:color w:val="auto"/>
                <w:kern w:val="0"/>
                <w:sz w:val="24"/>
                <w:highlight w:val="none"/>
              </w:rPr>
            </w:pPr>
          </w:p>
        </w:tc>
        <w:tc>
          <w:tcPr>
            <w:tcW w:w="606" w:type="dxa"/>
            <w:vAlign w:val="center"/>
          </w:tcPr>
          <w:p w14:paraId="61F66D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3A7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D41A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975908E">
            <w:pPr>
              <w:widowControl/>
              <w:jc w:val="left"/>
              <w:rPr>
                <w:rFonts w:hint="eastAsia" w:ascii="仿宋" w:hAnsi="仿宋" w:eastAsia="仿宋" w:cs="仿宋"/>
                <w:color w:val="auto"/>
                <w:kern w:val="0"/>
                <w:sz w:val="24"/>
                <w:highlight w:val="none"/>
              </w:rPr>
            </w:pPr>
          </w:p>
        </w:tc>
        <w:tc>
          <w:tcPr>
            <w:tcW w:w="1025" w:type="dxa"/>
            <w:vMerge w:val="restart"/>
            <w:vAlign w:val="center"/>
          </w:tcPr>
          <w:p w14:paraId="5DE4F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AF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68D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58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451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A5390C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F33444">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32D38">
            <w:pPr>
              <w:widowControl/>
              <w:jc w:val="left"/>
              <w:rPr>
                <w:rFonts w:hint="eastAsia" w:ascii="仿宋" w:hAnsi="仿宋" w:eastAsia="仿宋" w:cs="仿宋"/>
                <w:color w:val="auto"/>
                <w:kern w:val="0"/>
                <w:sz w:val="24"/>
                <w:highlight w:val="none"/>
              </w:rPr>
            </w:pPr>
          </w:p>
        </w:tc>
        <w:tc>
          <w:tcPr>
            <w:tcW w:w="606" w:type="dxa"/>
            <w:vAlign w:val="center"/>
          </w:tcPr>
          <w:p w14:paraId="14834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8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BF49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BC61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596AC3B">
            <w:pPr>
              <w:widowControl/>
              <w:jc w:val="left"/>
              <w:rPr>
                <w:rFonts w:hint="eastAsia" w:ascii="仿宋" w:hAnsi="仿宋" w:eastAsia="仿宋" w:cs="仿宋"/>
                <w:color w:val="auto"/>
                <w:kern w:val="0"/>
                <w:sz w:val="24"/>
                <w:highlight w:val="none"/>
              </w:rPr>
            </w:pPr>
          </w:p>
        </w:tc>
        <w:tc>
          <w:tcPr>
            <w:tcW w:w="2836" w:type="dxa"/>
            <w:vMerge w:val="continue"/>
            <w:vAlign w:val="center"/>
          </w:tcPr>
          <w:p w14:paraId="0B5A1810">
            <w:pPr>
              <w:widowControl/>
              <w:jc w:val="left"/>
              <w:rPr>
                <w:rFonts w:hint="eastAsia" w:ascii="仿宋" w:hAnsi="仿宋" w:eastAsia="仿宋" w:cs="仿宋"/>
                <w:color w:val="auto"/>
                <w:kern w:val="0"/>
                <w:sz w:val="24"/>
                <w:highlight w:val="none"/>
              </w:rPr>
            </w:pPr>
          </w:p>
        </w:tc>
        <w:tc>
          <w:tcPr>
            <w:tcW w:w="606" w:type="dxa"/>
            <w:vAlign w:val="center"/>
          </w:tcPr>
          <w:p w14:paraId="41841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C018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84F2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FEEF27">
            <w:pPr>
              <w:widowControl/>
              <w:jc w:val="left"/>
              <w:rPr>
                <w:rFonts w:hint="eastAsia" w:ascii="仿宋" w:hAnsi="仿宋" w:eastAsia="仿宋" w:cs="仿宋"/>
                <w:color w:val="auto"/>
                <w:kern w:val="0"/>
                <w:sz w:val="24"/>
                <w:highlight w:val="none"/>
              </w:rPr>
            </w:pPr>
          </w:p>
        </w:tc>
        <w:tc>
          <w:tcPr>
            <w:tcW w:w="1025" w:type="dxa"/>
            <w:vMerge w:val="continue"/>
            <w:vAlign w:val="center"/>
          </w:tcPr>
          <w:p w14:paraId="1539DCE8">
            <w:pPr>
              <w:widowControl/>
              <w:jc w:val="left"/>
              <w:rPr>
                <w:rFonts w:hint="eastAsia" w:ascii="仿宋" w:hAnsi="仿宋" w:eastAsia="仿宋" w:cs="仿宋"/>
                <w:color w:val="auto"/>
                <w:kern w:val="0"/>
                <w:sz w:val="24"/>
                <w:highlight w:val="none"/>
              </w:rPr>
            </w:pPr>
          </w:p>
        </w:tc>
        <w:tc>
          <w:tcPr>
            <w:tcW w:w="2836" w:type="dxa"/>
            <w:vMerge w:val="restart"/>
            <w:vAlign w:val="center"/>
          </w:tcPr>
          <w:p w14:paraId="4ED2D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865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8E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EA4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B666F1B">
            <w:pPr>
              <w:widowControl/>
              <w:jc w:val="left"/>
              <w:rPr>
                <w:rFonts w:hint="eastAsia" w:ascii="仿宋" w:hAnsi="仿宋" w:eastAsia="仿宋" w:cs="仿宋"/>
                <w:color w:val="auto"/>
                <w:kern w:val="0"/>
                <w:sz w:val="24"/>
                <w:highlight w:val="none"/>
              </w:rPr>
            </w:pPr>
          </w:p>
        </w:tc>
        <w:tc>
          <w:tcPr>
            <w:tcW w:w="1025" w:type="dxa"/>
            <w:vMerge w:val="continue"/>
            <w:vAlign w:val="center"/>
          </w:tcPr>
          <w:p w14:paraId="01D77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11DD4">
            <w:pPr>
              <w:widowControl/>
              <w:jc w:val="left"/>
              <w:rPr>
                <w:rFonts w:hint="eastAsia" w:ascii="仿宋" w:hAnsi="仿宋" w:eastAsia="仿宋" w:cs="仿宋"/>
                <w:color w:val="auto"/>
                <w:kern w:val="0"/>
                <w:sz w:val="24"/>
                <w:highlight w:val="none"/>
              </w:rPr>
            </w:pPr>
          </w:p>
        </w:tc>
        <w:tc>
          <w:tcPr>
            <w:tcW w:w="606" w:type="dxa"/>
            <w:vAlign w:val="center"/>
          </w:tcPr>
          <w:p w14:paraId="5216E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D75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DD08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7409252">
            <w:pPr>
              <w:widowControl/>
              <w:jc w:val="left"/>
              <w:rPr>
                <w:rFonts w:hint="eastAsia" w:ascii="仿宋" w:hAnsi="仿宋" w:eastAsia="仿宋" w:cs="仿宋"/>
                <w:color w:val="auto"/>
                <w:kern w:val="0"/>
                <w:sz w:val="24"/>
                <w:highlight w:val="none"/>
              </w:rPr>
            </w:pPr>
          </w:p>
        </w:tc>
        <w:tc>
          <w:tcPr>
            <w:tcW w:w="1025" w:type="dxa"/>
            <w:vMerge w:val="continue"/>
            <w:vAlign w:val="center"/>
          </w:tcPr>
          <w:p w14:paraId="4A39516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B0A46">
            <w:pPr>
              <w:widowControl/>
              <w:jc w:val="left"/>
              <w:rPr>
                <w:rFonts w:hint="eastAsia" w:ascii="仿宋" w:hAnsi="仿宋" w:eastAsia="仿宋" w:cs="仿宋"/>
                <w:color w:val="auto"/>
                <w:kern w:val="0"/>
                <w:sz w:val="24"/>
                <w:highlight w:val="none"/>
              </w:rPr>
            </w:pPr>
          </w:p>
        </w:tc>
        <w:tc>
          <w:tcPr>
            <w:tcW w:w="606" w:type="dxa"/>
            <w:vAlign w:val="center"/>
          </w:tcPr>
          <w:p w14:paraId="3C634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03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2E0B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01801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6BF1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55B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F7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668D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603880E">
            <w:pPr>
              <w:widowControl/>
              <w:jc w:val="left"/>
              <w:rPr>
                <w:rFonts w:hint="eastAsia" w:ascii="仿宋" w:hAnsi="仿宋" w:eastAsia="仿宋" w:cs="仿宋"/>
                <w:color w:val="auto"/>
                <w:kern w:val="0"/>
                <w:sz w:val="24"/>
                <w:highlight w:val="none"/>
              </w:rPr>
            </w:pPr>
          </w:p>
        </w:tc>
        <w:tc>
          <w:tcPr>
            <w:tcW w:w="2836" w:type="dxa"/>
            <w:vMerge w:val="continue"/>
            <w:vAlign w:val="center"/>
          </w:tcPr>
          <w:p w14:paraId="07683B9B">
            <w:pPr>
              <w:widowControl/>
              <w:jc w:val="left"/>
              <w:rPr>
                <w:rFonts w:hint="eastAsia" w:ascii="仿宋" w:hAnsi="仿宋" w:eastAsia="仿宋" w:cs="仿宋"/>
                <w:color w:val="auto"/>
                <w:kern w:val="0"/>
                <w:sz w:val="24"/>
                <w:highlight w:val="none"/>
              </w:rPr>
            </w:pPr>
          </w:p>
        </w:tc>
        <w:tc>
          <w:tcPr>
            <w:tcW w:w="606" w:type="dxa"/>
            <w:vAlign w:val="center"/>
          </w:tcPr>
          <w:p w14:paraId="18BBD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499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9937B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25F77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98FC544">
            <w:pPr>
              <w:widowControl/>
              <w:jc w:val="left"/>
              <w:rPr>
                <w:rFonts w:hint="eastAsia" w:ascii="仿宋" w:hAnsi="仿宋" w:eastAsia="仿宋" w:cs="仿宋"/>
                <w:color w:val="auto"/>
                <w:kern w:val="0"/>
                <w:sz w:val="24"/>
                <w:highlight w:val="none"/>
              </w:rPr>
            </w:pPr>
          </w:p>
        </w:tc>
        <w:tc>
          <w:tcPr>
            <w:tcW w:w="606" w:type="dxa"/>
            <w:vAlign w:val="center"/>
          </w:tcPr>
          <w:p w14:paraId="2D22B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8CB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868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2D140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F95C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14B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49E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BEBE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535E2318">
            <w:pPr>
              <w:widowControl/>
              <w:jc w:val="left"/>
              <w:rPr>
                <w:rFonts w:hint="eastAsia" w:ascii="仿宋" w:hAnsi="仿宋" w:eastAsia="仿宋" w:cs="仿宋"/>
                <w:color w:val="auto"/>
                <w:kern w:val="0"/>
                <w:sz w:val="24"/>
                <w:highlight w:val="none"/>
              </w:rPr>
            </w:pPr>
          </w:p>
        </w:tc>
        <w:tc>
          <w:tcPr>
            <w:tcW w:w="2836" w:type="dxa"/>
            <w:vMerge w:val="continue"/>
            <w:vAlign w:val="center"/>
          </w:tcPr>
          <w:p w14:paraId="527E5E32">
            <w:pPr>
              <w:widowControl/>
              <w:jc w:val="left"/>
              <w:rPr>
                <w:rFonts w:hint="eastAsia" w:ascii="仿宋" w:hAnsi="仿宋" w:eastAsia="仿宋" w:cs="仿宋"/>
                <w:color w:val="auto"/>
                <w:kern w:val="0"/>
                <w:sz w:val="24"/>
                <w:highlight w:val="none"/>
              </w:rPr>
            </w:pPr>
          </w:p>
        </w:tc>
        <w:tc>
          <w:tcPr>
            <w:tcW w:w="606" w:type="dxa"/>
            <w:vAlign w:val="center"/>
          </w:tcPr>
          <w:p w14:paraId="72F1C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40D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8CEE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FA50C3E">
            <w:pPr>
              <w:widowControl/>
              <w:jc w:val="left"/>
              <w:rPr>
                <w:rFonts w:hint="eastAsia" w:ascii="仿宋" w:hAnsi="仿宋" w:eastAsia="仿宋" w:cs="仿宋"/>
                <w:color w:val="auto"/>
                <w:kern w:val="0"/>
                <w:sz w:val="24"/>
                <w:highlight w:val="none"/>
              </w:rPr>
            </w:pPr>
          </w:p>
        </w:tc>
        <w:tc>
          <w:tcPr>
            <w:tcW w:w="2836" w:type="dxa"/>
            <w:vMerge w:val="continue"/>
            <w:vAlign w:val="center"/>
          </w:tcPr>
          <w:p w14:paraId="75FE8C4E">
            <w:pPr>
              <w:widowControl/>
              <w:jc w:val="left"/>
              <w:rPr>
                <w:rFonts w:hint="eastAsia" w:ascii="仿宋" w:hAnsi="仿宋" w:eastAsia="仿宋" w:cs="仿宋"/>
                <w:color w:val="auto"/>
                <w:kern w:val="0"/>
                <w:sz w:val="24"/>
                <w:highlight w:val="none"/>
              </w:rPr>
            </w:pPr>
          </w:p>
        </w:tc>
        <w:tc>
          <w:tcPr>
            <w:tcW w:w="606" w:type="dxa"/>
            <w:vAlign w:val="center"/>
          </w:tcPr>
          <w:p w14:paraId="0D73F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E1D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835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48CCF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633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C935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240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0B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0B8E0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1489FDA">
            <w:pPr>
              <w:widowControl/>
              <w:jc w:val="left"/>
              <w:rPr>
                <w:rFonts w:hint="eastAsia" w:ascii="仿宋" w:hAnsi="仿宋" w:eastAsia="仿宋" w:cs="仿宋"/>
                <w:color w:val="auto"/>
                <w:kern w:val="0"/>
                <w:sz w:val="24"/>
                <w:highlight w:val="none"/>
              </w:rPr>
            </w:pPr>
          </w:p>
        </w:tc>
        <w:tc>
          <w:tcPr>
            <w:tcW w:w="1025" w:type="dxa"/>
            <w:vMerge w:val="continue"/>
            <w:vAlign w:val="center"/>
          </w:tcPr>
          <w:p w14:paraId="1ADDC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49BAE">
            <w:pPr>
              <w:widowControl/>
              <w:jc w:val="left"/>
              <w:rPr>
                <w:rFonts w:hint="eastAsia" w:ascii="仿宋" w:hAnsi="仿宋" w:eastAsia="仿宋" w:cs="仿宋"/>
                <w:color w:val="auto"/>
                <w:kern w:val="0"/>
                <w:sz w:val="24"/>
                <w:highlight w:val="none"/>
              </w:rPr>
            </w:pPr>
          </w:p>
        </w:tc>
        <w:tc>
          <w:tcPr>
            <w:tcW w:w="606" w:type="dxa"/>
            <w:vAlign w:val="center"/>
          </w:tcPr>
          <w:p w14:paraId="512DA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673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99C0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5F8F2EE">
            <w:pPr>
              <w:widowControl/>
              <w:jc w:val="left"/>
              <w:rPr>
                <w:rFonts w:hint="eastAsia" w:ascii="仿宋" w:hAnsi="仿宋" w:eastAsia="仿宋" w:cs="仿宋"/>
                <w:color w:val="auto"/>
                <w:kern w:val="0"/>
                <w:sz w:val="24"/>
                <w:highlight w:val="none"/>
              </w:rPr>
            </w:pPr>
          </w:p>
        </w:tc>
        <w:tc>
          <w:tcPr>
            <w:tcW w:w="1025" w:type="dxa"/>
            <w:vMerge w:val="continue"/>
            <w:vAlign w:val="center"/>
          </w:tcPr>
          <w:p w14:paraId="0E7F2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7BDF1">
            <w:pPr>
              <w:widowControl/>
              <w:jc w:val="left"/>
              <w:rPr>
                <w:rFonts w:hint="eastAsia" w:ascii="仿宋" w:hAnsi="仿宋" w:eastAsia="仿宋" w:cs="仿宋"/>
                <w:color w:val="auto"/>
                <w:kern w:val="0"/>
                <w:sz w:val="24"/>
                <w:highlight w:val="none"/>
              </w:rPr>
            </w:pPr>
          </w:p>
        </w:tc>
        <w:tc>
          <w:tcPr>
            <w:tcW w:w="606" w:type="dxa"/>
            <w:vAlign w:val="center"/>
          </w:tcPr>
          <w:p w14:paraId="6A6F7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5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DC90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5099E4E">
            <w:pPr>
              <w:widowControl/>
              <w:jc w:val="left"/>
              <w:rPr>
                <w:rFonts w:hint="eastAsia" w:ascii="仿宋" w:hAnsi="仿宋" w:eastAsia="仿宋" w:cs="仿宋"/>
                <w:color w:val="auto"/>
                <w:kern w:val="0"/>
                <w:sz w:val="24"/>
                <w:highlight w:val="none"/>
              </w:rPr>
            </w:pPr>
          </w:p>
        </w:tc>
        <w:tc>
          <w:tcPr>
            <w:tcW w:w="1025" w:type="dxa"/>
            <w:vMerge w:val="restart"/>
            <w:vAlign w:val="center"/>
          </w:tcPr>
          <w:p w14:paraId="6C1B0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E8D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832B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F5B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AB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3A02577">
            <w:pPr>
              <w:widowControl/>
              <w:jc w:val="left"/>
              <w:rPr>
                <w:rFonts w:hint="eastAsia" w:ascii="仿宋" w:hAnsi="仿宋" w:eastAsia="仿宋" w:cs="仿宋"/>
                <w:color w:val="auto"/>
                <w:kern w:val="0"/>
                <w:sz w:val="24"/>
                <w:highlight w:val="none"/>
              </w:rPr>
            </w:pPr>
          </w:p>
        </w:tc>
        <w:tc>
          <w:tcPr>
            <w:tcW w:w="1025" w:type="dxa"/>
            <w:vMerge w:val="continue"/>
            <w:vAlign w:val="center"/>
          </w:tcPr>
          <w:p w14:paraId="6DE6D5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FE9E22B">
            <w:pPr>
              <w:widowControl/>
              <w:jc w:val="left"/>
              <w:rPr>
                <w:rFonts w:hint="eastAsia" w:ascii="仿宋" w:hAnsi="仿宋" w:eastAsia="仿宋" w:cs="仿宋"/>
                <w:color w:val="auto"/>
                <w:kern w:val="0"/>
                <w:sz w:val="24"/>
                <w:highlight w:val="none"/>
              </w:rPr>
            </w:pPr>
          </w:p>
        </w:tc>
        <w:tc>
          <w:tcPr>
            <w:tcW w:w="606" w:type="dxa"/>
            <w:vAlign w:val="center"/>
          </w:tcPr>
          <w:p w14:paraId="2915B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DC0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4504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452CD4E">
            <w:pPr>
              <w:widowControl/>
              <w:jc w:val="left"/>
              <w:rPr>
                <w:rFonts w:hint="eastAsia" w:ascii="仿宋" w:hAnsi="仿宋" w:eastAsia="仿宋" w:cs="仿宋"/>
                <w:color w:val="auto"/>
                <w:kern w:val="0"/>
                <w:sz w:val="24"/>
                <w:highlight w:val="none"/>
              </w:rPr>
            </w:pPr>
          </w:p>
        </w:tc>
        <w:tc>
          <w:tcPr>
            <w:tcW w:w="1025" w:type="dxa"/>
            <w:vMerge w:val="continue"/>
            <w:vAlign w:val="center"/>
          </w:tcPr>
          <w:p w14:paraId="00E39B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27AED38">
            <w:pPr>
              <w:widowControl/>
              <w:jc w:val="left"/>
              <w:rPr>
                <w:rFonts w:hint="eastAsia" w:ascii="仿宋" w:hAnsi="仿宋" w:eastAsia="仿宋" w:cs="仿宋"/>
                <w:color w:val="auto"/>
                <w:kern w:val="0"/>
                <w:sz w:val="24"/>
                <w:highlight w:val="none"/>
              </w:rPr>
            </w:pPr>
          </w:p>
        </w:tc>
        <w:tc>
          <w:tcPr>
            <w:tcW w:w="606" w:type="dxa"/>
            <w:vAlign w:val="center"/>
          </w:tcPr>
          <w:p w14:paraId="76497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B1B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17CD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A4A471F">
            <w:pPr>
              <w:widowControl/>
              <w:jc w:val="left"/>
              <w:rPr>
                <w:rFonts w:hint="eastAsia" w:ascii="仿宋" w:hAnsi="仿宋" w:eastAsia="仿宋" w:cs="仿宋"/>
                <w:color w:val="auto"/>
                <w:kern w:val="0"/>
                <w:sz w:val="24"/>
                <w:highlight w:val="none"/>
              </w:rPr>
            </w:pPr>
          </w:p>
        </w:tc>
        <w:tc>
          <w:tcPr>
            <w:tcW w:w="1025" w:type="dxa"/>
            <w:vMerge w:val="restart"/>
            <w:vAlign w:val="center"/>
          </w:tcPr>
          <w:p w14:paraId="3E5B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B31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F3C5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261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B478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50D33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BEF0888">
            <w:pPr>
              <w:widowControl/>
              <w:jc w:val="left"/>
              <w:rPr>
                <w:rFonts w:hint="eastAsia" w:ascii="仿宋" w:hAnsi="仿宋" w:eastAsia="仿宋" w:cs="仿宋"/>
                <w:color w:val="auto"/>
                <w:kern w:val="0"/>
                <w:sz w:val="24"/>
                <w:highlight w:val="none"/>
              </w:rPr>
            </w:pPr>
          </w:p>
        </w:tc>
        <w:tc>
          <w:tcPr>
            <w:tcW w:w="2836" w:type="dxa"/>
            <w:vMerge w:val="continue"/>
            <w:vAlign w:val="center"/>
          </w:tcPr>
          <w:p w14:paraId="2C7D5D98">
            <w:pPr>
              <w:widowControl/>
              <w:jc w:val="left"/>
              <w:rPr>
                <w:rFonts w:hint="eastAsia" w:ascii="仿宋" w:hAnsi="仿宋" w:eastAsia="仿宋" w:cs="仿宋"/>
                <w:color w:val="auto"/>
                <w:kern w:val="0"/>
                <w:sz w:val="24"/>
                <w:highlight w:val="none"/>
              </w:rPr>
            </w:pPr>
          </w:p>
        </w:tc>
        <w:tc>
          <w:tcPr>
            <w:tcW w:w="606" w:type="dxa"/>
            <w:vAlign w:val="center"/>
          </w:tcPr>
          <w:p w14:paraId="72EB7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60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AE4D0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BE56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C08FEEE">
            <w:pPr>
              <w:widowControl/>
              <w:jc w:val="left"/>
              <w:rPr>
                <w:rFonts w:hint="eastAsia" w:ascii="仿宋" w:hAnsi="仿宋" w:eastAsia="仿宋" w:cs="仿宋"/>
                <w:color w:val="auto"/>
                <w:kern w:val="0"/>
                <w:sz w:val="24"/>
                <w:highlight w:val="none"/>
              </w:rPr>
            </w:pPr>
          </w:p>
        </w:tc>
        <w:tc>
          <w:tcPr>
            <w:tcW w:w="2836" w:type="dxa"/>
            <w:vMerge w:val="continue"/>
            <w:vAlign w:val="center"/>
          </w:tcPr>
          <w:p w14:paraId="335641E7">
            <w:pPr>
              <w:widowControl/>
              <w:jc w:val="left"/>
              <w:rPr>
                <w:rFonts w:hint="eastAsia" w:ascii="仿宋" w:hAnsi="仿宋" w:eastAsia="仿宋" w:cs="仿宋"/>
                <w:color w:val="auto"/>
                <w:kern w:val="0"/>
                <w:sz w:val="24"/>
                <w:highlight w:val="none"/>
              </w:rPr>
            </w:pPr>
          </w:p>
        </w:tc>
        <w:tc>
          <w:tcPr>
            <w:tcW w:w="606" w:type="dxa"/>
            <w:vAlign w:val="center"/>
          </w:tcPr>
          <w:p w14:paraId="05481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054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C01458">
      <w:pPr>
        <w:rPr>
          <w:rFonts w:hint="eastAsia" w:ascii="仿宋" w:hAnsi="仿宋" w:eastAsia="仿宋" w:cs="仿宋"/>
          <w:color w:val="auto"/>
          <w:sz w:val="24"/>
          <w:highlight w:val="none"/>
        </w:rPr>
      </w:pPr>
    </w:p>
    <w:p w14:paraId="59680D42">
      <w:pPr>
        <w:ind w:firstLine="420" w:firstLineChars="200"/>
        <w:rPr>
          <w:rFonts w:hint="eastAsia" w:ascii="仿宋" w:hAnsi="仿宋" w:eastAsia="仿宋" w:cs="仿宋"/>
          <w:color w:val="auto"/>
          <w:highlight w:val="none"/>
        </w:rPr>
      </w:pPr>
    </w:p>
    <w:p w14:paraId="3510916D">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EA7C62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683662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41AD5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5C7E5E3B">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A2E2C0"/>
    <w:multiLevelType w:val="singleLevel"/>
    <w:tmpl w:val="FCA2E2C0"/>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8862BC4"/>
    <w:multiLevelType w:val="multilevel"/>
    <w:tmpl w:val="08862BC4"/>
    <w:lvl w:ilvl="0" w:tentative="0">
      <w:start w:val="1"/>
      <w:numFmt w:val="chineseCountingThousand"/>
      <w:lvlText w:val="%1、"/>
      <w:lvlJc w:val="left"/>
      <w:pPr>
        <w:ind w:left="892" w:hanging="420"/>
      </w:p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5"/>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6F5F62"/>
    <w:rsid w:val="03FC0AFB"/>
    <w:rsid w:val="0446241E"/>
    <w:rsid w:val="05043575"/>
    <w:rsid w:val="05AD5B9A"/>
    <w:rsid w:val="06AB31FB"/>
    <w:rsid w:val="07661F9E"/>
    <w:rsid w:val="08A8158B"/>
    <w:rsid w:val="0B485C00"/>
    <w:rsid w:val="0B4D1F94"/>
    <w:rsid w:val="0C5609D3"/>
    <w:rsid w:val="0FE33993"/>
    <w:rsid w:val="10B828F8"/>
    <w:rsid w:val="11504E7B"/>
    <w:rsid w:val="11804AA7"/>
    <w:rsid w:val="11BC65F9"/>
    <w:rsid w:val="137A20FF"/>
    <w:rsid w:val="142305FE"/>
    <w:rsid w:val="15D32F45"/>
    <w:rsid w:val="1618304E"/>
    <w:rsid w:val="16467176"/>
    <w:rsid w:val="17E87EB1"/>
    <w:rsid w:val="20FF1092"/>
    <w:rsid w:val="214E1D04"/>
    <w:rsid w:val="22D50A60"/>
    <w:rsid w:val="252B7970"/>
    <w:rsid w:val="253445BA"/>
    <w:rsid w:val="26125BA4"/>
    <w:rsid w:val="281A2C55"/>
    <w:rsid w:val="28A569C3"/>
    <w:rsid w:val="2A57031E"/>
    <w:rsid w:val="2B0A0BD5"/>
    <w:rsid w:val="2B1B5AC0"/>
    <w:rsid w:val="2B431456"/>
    <w:rsid w:val="2FF8154F"/>
    <w:rsid w:val="308F514A"/>
    <w:rsid w:val="32297A9B"/>
    <w:rsid w:val="373F7F37"/>
    <w:rsid w:val="382168F2"/>
    <w:rsid w:val="397E34B4"/>
    <w:rsid w:val="39EE2D34"/>
    <w:rsid w:val="3C854832"/>
    <w:rsid w:val="3D4A320A"/>
    <w:rsid w:val="3E6F2C13"/>
    <w:rsid w:val="3E7C55D4"/>
    <w:rsid w:val="3E9F6417"/>
    <w:rsid w:val="3F8973DC"/>
    <w:rsid w:val="3FDC222E"/>
    <w:rsid w:val="410179A7"/>
    <w:rsid w:val="45CC7564"/>
    <w:rsid w:val="46B04891"/>
    <w:rsid w:val="49463453"/>
    <w:rsid w:val="49C8030C"/>
    <w:rsid w:val="49D2118A"/>
    <w:rsid w:val="4A963F66"/>
    <w:rsid w:val="4B3979DB"/>
    <w:rsid w:val="4BDC6D24"/>
    <w:rsid w:val="4BFA5BC7"/>
    <w:rsid w:val="50045634"/>
    <w:rsid w:val="512B7F06"/>
    <w:rsid w:val="52681FFE"/>
    <w:rsid w:val="53596425"/>
    <w:rsid w:val="53710099"/>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8A909AF"/>
    <w:rsid w:val="694B0523"/>
    <w:rsid w:val="6E611302"/>
    <w:rsid w:val="72BA78EE"/>
    <w:rsid w:val="72E87C49"/>
    <w:rsid w:val="74253AE1"/>
    <w:rsid w:val="74B752B6"/>
    <w:rsid w:val="75673B65"/>
    <w:rsid w:val="75DF67C1"/>
    <w:rsid w:val="76FE49DA"/>
    <w:rsid w:val="7772526A"/>
    <w:rsid w:val="78B30A71"/>
    <w:rsid w:val="7954218E"/>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61"/>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87"/>
    <w:autoRedefine/>
    <w:qFormat/>
    <w:uiPriority w:val="0"/>
    <w:pPr>
      <w:spacing w:line="360" w:lineRule="auto"/>
    </w:pPr>
    <w:rPr>
      <w:rFonts w:eastAsia="仿宋_GB2312"/>
      <w:sz w:val="28"/>
    </w:rPr>
  </w:style>
  <w:style w:type="paragraph" w:styleId="6">
    <w:name w:val="Normal Indent"/>
    <w:basedOn w:val="1"/>
    <w:link w:val="56"/>
    <w:autoRedefine/>
    <w:qFormat/>
    <w:uiPriority w:val="0"/>
    <w:pPr>
      <w:ind w:firstLine="420" w:firstLineChars="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autoRedefine/>
    <w:qFormat/>
    <w:uiPriority w:val="0"/>
    <w:pPr>
      <w:spacing w:line="360" w:lineRule="auto"/>
      <w:jc w:val="center"/>
    </w:pPr>
    <w:rPr>
      <w:rFonts w:ascii="Calibri" w:hAnsi="Calibri"/>
      <w:sz w:val="20"/>
      <w:szCs w:val="20"/>
    </w:rPr>
  </w:style>
  <w:style w:type="paragraph" w:styleId="16">
    <w:name w:val="Document Map"/>
    <w:basedOn w:val="1"/>
    <w:link w:val="121"/>
    <w:autoRedefine/>
    <w:semiHidden/>
    <w:qFormat/>
    <w:uiPriority w:val="0"/>
    <w:pPr>
      <w:shd w:val="clear" w:color="auto" w:fill="000080"/>
    </w:pPr>
  </w:style>
  <w:style w:type="paragraph" w:styleId="17">
    <w:name w:val="annotation text"/>
    <w:basedOn w:val="1"/>
    <w:link w:val="74"/>
    <w:autoRedefine/>
    <w:qFormat/>
    <w:uiPriority w:val="0"/>
    <w:pPr>
      <w:jc w:val="left"/>
    </w:pPr>
  </w:style>
  <w:style w:type="paragraph" w:styleId="18">
    <w:name w:val="Body Text Indent"/>
    <w:basedOn w:val="1"/>
    <w:link w:val="68"/>
    <w:autoRedefine/>
    <w:qFormat/>
    <w:uiPriority w:val="0"/>
    <w:pPr>
      <w:spacing w:after="120"/>
      <w:ind w:left="420" w:leftChars="200"/>
    </w:pPr>
  </w:style>
  <w:style w:type="paragraph" w:styleId="19">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0">
    <w:name w:val="Block Text"/>
    <w:basedOn w:val="1"/>
    <w:autoRedefine/>
    <w:qFormat/>
    <w:uiPriority w:val="0"/>
    <w:pPr>
      <w:spacing w:before="120" w:line="360" w:lineRule="auto"/>
      <w:ind w:left="824" w:right="202"/>
    </w:pPr>
    <w:rPr>
      <w:rFonts w:ascii="宋体" w:hAnsi="宋体"/>
      <w:sz w:val="24"/>
      <w:szCs w:val="21"/>
    </w:rPr>
  </w:style>
  <w:style w:type="paragraph" w:styleId="21">
    <w:name w:val="index 4"/>
    <w:basedOn w:val="1"/>
    <w:next w:val="1"/>
    <w:autoRedefine/>
    <w:unhideWhenUsed/>
    <w:qFormat/>
    <w:uiPriority w:val="99"/>
    <w:pPr>
      <w:ind w:left="600" w:leftChars="600"/>
    </w:pPr>
    <w:rPr>
      <w:szCs w:val="22"/>
    </w:rPr>
  </w:style>
  <w:style w:type="paragraph" w:styleId="22">
    <w:name w:val="toc 3"/>
    <w:basedOn w:val="1"/>
    <w:next w:val="1"/>
    <w:autoRedefine/>
    <w:unhideWhenUsed/>
    <w:qFormat/>
    <w:uiPriority w:val="0"/>
    <w:pPr>
      <w:ind w:left="840" w:leftChars="400"/>
    </w:pPr>
    <w:rPr>
      <w:rFonts w:ascii="Calibri" w:hAnsi="Calibri"/>
      <w:szCs w:val="22"/>
    </w:rPr>
  </w:style>
  <w:style w:type="paragraph" w:styleId="23">
    <w:name w:val="Plain Text"/>
    <w:basedOn w:val="1"/>
    <w:link w:val="66"/>
    <w:autoRedefine/>
    <w:qFormat/>
    <w:uiPriority w:val="0"/>
    <w:rPr>
      <w:rFonts w:ascii="宋体" w:hAnsi="Courier New"/>
      <w:szCs w:val="20"/>
    </w:rPr>
  </w:style>
  <w:style w:type="paragraph" w:styleId="24">
    <w:name w:val="Date"/>
    <w:basedOn w:val="1"/>
    <w:next w:val="1"/>
    <w:link w:val="69"/>
    <w:autoRedefine/>
    <w:qFormat/>
    <w:uiPriority w:val="0"/>
    <w:rPr>
      <w:rFonts w:ascii="楷体_GB2312" w:eastAsia="楷体_GB2312"/>
      <w:b/>
      <w:sz w:val="28"/>
      <w:szCs w:val="20"/>
    </w:rPr>
  </w:style>
  <w:style w:type="paragraph" w:styleId="25">
    <w:name w:val="Body Text Indent 2"/>
    <w:basedOn w:val="1"/>
    <w:link w:val="83"/>
    <w:autoRedefine/>
    <w:qFormat/>
    <w:uiPriority w:val="0"/>
    <w:pPr>
      <w:spacing w:after="120" w:line="480" w:lineRule="auto"/>
      <w:ind w:left="420" w:leftChars="200"/>
    </w:pPr>
  </w:style>
  <w:style w:type="paragraph" w:styleId="26">
    <w:name w:val="Balloon Text"/>
    <w:basedOn w:val="1"/>
    <w:link w:val="200"/>
    <w:autoRedefine/>
    <w:qFormat/>
    <w:uiPriority w:val="0"/>
    <w:rPr>
      <w:sz w:val="18"/>
      <w:szCs w:val="18"/>
    </w:rPr>
  </w:style>
  <w:style w:type="paragraph" w:styleId="27">
    <w:name w:val="footer"/>
    <w:basedOn w:val="1"/>
    <w:link w:val="71"/>
    <w:autoRedefine/>
    <w:qFormat/>
    <w:uiPriority w:val="0"/>
    <w:pPr>
      <w:tabs>
        <w:tab w:val="center" w:pos="4153"/>
        <w:tab w:val="right" w:pos="8306"/>
      </w:tabs>
      <w:snapToGrid w:val="0"/>
      <w:jc w:val="left"/>
    </w:pPr>
    <w:rPr>
      <w:sz w:val="18"/>
      <w:szCs w:val="18"/>
    </w:rPr>
  </w:style>
  <w:style w:type="paragraph" w:styleId="28">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semiHidden/>
    <w:qFormat/>
    <w:uiPriority w:val="0"/>
  </w:style>
  <w:style w:type="paragraph" w:styleId="30">
    <w:name w:val="toc 4"/>
    <w:basedOn w:val="1"/>
    <w:next w:val="1"/>
    <w:autoRedefine/>
    <w:semiHidden/>
    <w:qFormat/>
    <w:uiPriority w:val="0"/>
    <w:pPr>
      <w:tabs>
        <w:tab w:val="right" w:leader="dot" w:pos="8314"/>
      </w:tabs>
      <w:ind w:firstLine="588" w:firstLineChars="245"/>
    </w:pPr>
  </w:style>
  <w:style w:type="paragraph" w:styleId="31">
    <w:name w:val="toc 6"/>
    <w:basedOn w:val="1"/>
    <w:next w:val="1"/>
    <w:autoRedefine/>
    <w:qFormat/>
    <w:uiPriority w:val="0"/>
    <w:pPr>
      <w:ind w:left="2100" w:leftChars="1000"/>
    </w:pPr>
  </w:style>
  <w:style w:type="paragraph" w:styleId="32">
    <w:name w:val="Body Text Indent 3"/>
    <w:basedOn w:val="1"/>
    <w:link w:val="201"/>
    <w:autoRedefine/>
    <w:qFormat/>
    <w:uiPriority w:val="0"/>
    <w:pPr>
      <w:spacing w:after="120"/>
      <w:ind w:left="420" w:leftChars="200"/>
    </w:pPr>
    <w:rPr>
      <w:sz w:val="16"/>
      <w:szCs w:val="16"/>
    </w:rPr>
  </w:style>
  <w:style w:type="paragraph" w:styleId="33">
    <w:name w:val="toc 2"/>
    <w:basedOn w:val="1"/>
    <w:next w:val="1"/>
    <w:autoRedefine/>
    <w:semiHidden/>
    <w:qFormat/>
    <w:uiPriority w:val="0"/>
    <w:pPr>
      <w:ind w:left="420" w:leftChars="200"/>
    </w:pPr>
  </w:style>
  <w:style w:type="paragraph" w:styleId="34">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autoRedefine/>
    <w:qFormat/>
    <w:uiPriority w:val="0"/>
    <w:pPr>
      <w:spacing w:after="120"/>
      <w:ind w:left="840" w:leftChars="400"/>
    </w:pPr>
  </w:style>
  <w:style w:type="paragraph" w:styleId="36">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autoRedefine/>
    <w:semiHidden/>
    <w:qFormat/>
    <w:uiPriority w:val="0"/>
    <w:pPr>
      <w:spacing w:line="320" w:lineRule="exact"/>
    </w:pPr>
    <w:rPr>
      <w:b/>
      <w:snapToGrid w:val="0"/>
      <w:color w:val="FF6600"/>
      <w:kern w:val="0"/>
      <w:sz w:val="18"/>
      <w:szCs w:val="21"/>
    </w:rPr>
  </w:style>
  <w:style w:type="paragraph" w:styleId="39">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3"/>
    <w:autoRedefine/>
    <w:qFormat/>
    <w:uiPriority w:val="0"/>
    <w:pPr>
      <w:widowControl/>
      <w:spacing w:afterLines="50"/>
    </w:pPr>
    <w:rPr>
      <w:b/>
      <w:bCs/>
      <w:kern w:val="0"/>
      <w:sz w:val="24"/>
      <w:szCs w:val="20"/>
    </w:rPr>
  </w:style>
  <w:style w:type="paragraph" w:styleId="41">
    <w:name w:val="Body Text First Indent"/>
    <w:basedOn w:val="2"/>
    <w:next w:val="1"/>
    <w:link w:val="204"/>
    <w:autoRedefine/>
    <w:qFormat/>
    <w:uiPriority w:val="0"/>
    <w:pPr>
      <w:spacing w:after="120" w:line="240" w:lineRule="auto"/>
      <w:ind w:firstLine="420" w:firstLineChars="100"/>
    </w:pPr>
    <w:rPr>
      <w:rFonts w:eastAsia="宋体"/>
      <w:sz w:val="21"/>
    </w:rPr>
  </w:style>
  <w:style w:type="paragraph" w:styleId="42">
    <w:name w:val="Body Text First Indent 2"/>
    <w:basedOn w:val="18"/>
    <w:next w:val="41"/>
    <w:link w:val="205"/>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autoRedefine/>
    <w:qFormat/>
    <w:uiPriority w:val="0"/>
    <w:rPr>
      <w:b/>
      <w:bCs/>
    </w:rPr>
  </w:style>
  <w:style w:type="character" w:styleId="47">
    <w:name w:val="page number"/>
    <w:basedOn w:val="45"/>
    <w:autoRedefine/>
    <w:qFormat/>
    <w:uiPriority w:val="0"/>
  </w:style>
  <w:style w:type="character" w:styleId="48">
    <w:name w:val="FollowedHyperlink"/>
    <w:autoRedefine/>
    <w:qFormat/>
    <w:uiPriority w:val="99"/>
    <w:rPr>
      <w:color w:val="800080"/>
      <w:u w:val="single"/>
    </w:rPr>
  </w:style>
  <w:style w:type="character" w:styleId="49">
    <w:name w:val="Emphasis"/>
    <w:autoRedefine/>
    <w:qFormat/>
    <w:uiPriority w:val="0"/>
    <w:rPr>
      <w:color w:val="CC0000"/>
    </w:rPr>
  </w:style>
  <w:style w:type="character" w:styleId="50">
    <w:name w:val="Hyperlink"/>
    <w:autoRedefine/>
    <w:qFormat/>
    <w:uiPriority w:val="99"/>
    <w:rPr>
      <w:color w:val="0000FF"/>
      <w:u w:val="single"/>
    </w:rPr>
  </w:style>
  <w:style w:type="character" w:styleId="51">
    <w:name w:val="annotation reference"/>
    <w:autoRedefine/>
    <w:qFormat/>
    <w:uiPriority w:val="0"/>
    <w:rPr>
      <w:sz w:val="21"/>
      <w:szCs w:val="21"/>
    </w:rPr>
  </w:style>
  <w:style w:type="paragraph" w:customStyle="1" w:styleId="52">
    <w:name w:val="首行缩进"/>
    <w:basedOn w:val="1"/>
    <w:next w:val="1"/>
    <w:autoRedefine/>
    <w:qFormat/>
    <w:uiPriority w:val="0"/>
    <w:pPr>
      <w:adjustRightInd w:val="0"/>
      <w:spacing w:line="360" w:lineRule="auto"/>
      <w:ind w:firstLine="480" w:firstLineChars="200"/>
    </w:pPr>
    <w:rPr>
      <w:sz w:val="24"/>
      <w:szCs w:val="20"/>
      <w:lang w:val="zh-CN"/>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autoRedefine/>
    <w:qFormat/>
    <w:uiPriority w:val="0"/>
    <w:rPr>
      <w:rFonts w:eastAsia="仿宋_GB2312"/>
      <w:b/>
      <w:kern w:val="44"/>
      <w:sz w:val="44"/>
      <w:lang w:val="en-US" w:eastAsia="zh-CN" w:bidi="ar-SA"/>
    </w:rPr>
  </w:style>
  <w:style w:type="character" w:customStyle="1" w:styleId="56">
    <w:name w:val="正文缩进 Char"/>
    <w:link w:val="6"/>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4"/>
    <w:autoRedefine/>
    <w:qFormat/>
    <w:uiPriority w:val="0"/>
    <w:rPr>
      <w:rFonts w:ascii="Arial" w:hAnsi="Arial" w:eastAsia="黑体"/>
      <w:b/>
      <w:kern w:val="2"/>
      <w:sz w:val="32"/>
      <w:lang w:val="en-US" w:eastAsia="zh-CN" w:bidi="ar-SA"/>
    </w:rPr>
  </w:style>
  <w:style w:type="character" w:customStyle="1" w:styleId="59">
    <w:name w:val="标题 3 Char"/>
    <w:link w:val="5"/>
    <w:autoRedefine/>
    <w:qFormat/>
    <w:uiPriority w:val="0"/>
    <w:rPr>
      <w:rFonts w:eastAsia="仿宋_GB2312"/>
      <w:b/>
      <w:kern w:val="2"/>
      <w:sz w:val="32"/>
      <w:lang w:val="en-US" w:eastAsia="zh-CN" w:bidi="ar-SA"/>
    </w:rPr>
  </w:style>
  <w:style w:type="character" w:customStyle="1" w:styleId="60">
    <w:name w:val="标题 4 Char1"/>
    <w:link w:val="7"/>
    <w:autoRedefine/>
    <w:qFormat/>
    <w:uiPriority w:val="0"/>
    <w:rPr>
      <w:rFonts w:ascii="Arial" w:hAnsi="Arial" w:eastAsia="黑体"/>
      <w:b/>
      <w:kern w:val="2"/>
      <w:sz w:val="28"/>
      <w:lang w:val="en-US" w:eastAsia="zh-CN" w:bidi="ar-SA"/>
    </w:rPr>
  </w:style>
  <w:style w:type="character" w:customStyle="1" w:styleId="61">
    <w:name w:val="标题 5 Char1"/>
    <w:link w:val="8"/>
    <w:autoRedefine/>
    <w:qFormat/>
    <w:uiPriority w:val="0"/>
    <w:rPr>
      <w:sz w:val="24"/>
    </w:rPr>
  </w:style>
  <w:style w:type="character" w:customStyle="1" w:styleId="62">
    <w:name w:val="标题 6 Char1"/>
    <w:link w:val="9"/>
    <w:autoRedefine/>
    <w:qFormat/>
    <w:uiPriority w:val="0"/>
    <w:rPr>
      <w:rFonts w:ascii="宋体" w:hAnsi="Arial" w:eastAsia="宋体"/>
      <w:sz w:val="24"/>
      <w:lang w:val="en-US" w:eastAsia="zh-CN" w:bidi="ar-SA"/>
    </w:rPr>
  </w:style>
  <w:style w:type="character" w:customStyle="1" w:styleId="63">
    <w:name w:val="标题 7 Char1"/>
    <w:link w:val="10"/>
    <w:autoRedefine/>
    <w:qFormat/>
    <w:uiPriority w:val="0"/>
    <w:rPr>
      <w:rFonts w:ascii="宋体" w:hAnsi="Arial" w:eastAsia="宋体"/>
      <w:b/>
      <w:sz w:val="24"/>
      <w:lang w:val="en-US" w:eastAsia="zh-CN" w:bidi="ar-SA"/>
    </w:rPr>
  </w:style>
  <w:style w:type="character" w:customStyle="1" w:styleId="64">
    <w:name w:val="标题 8 Char1"/>
    <w:link w:val="11"/>
    <w:autoRedefine/>
    <w:qFormat/>
    <w:uiPriority w:val="0"/>
    <w:rPr>
      <w:rFonts w:ascii="Arial" w:hAnsi="Arial" w:eastAsia="黑体"/>
      <w:sz w:val="24"/>
      <w:lang w:val="en-US" w:eastAsia="zh-CN" w:bidi="ar-SA"/>
    </w:rPr>
  </w:style>
  <w:style w:type="character" w:customStyle="1" w:styleId="65">
    <w:name w:val="标题 9 Char1"/>
    <w:link w:val="12"/>
    <w:autoRedefine/>
    <w:qFormat/>
    <w:uiPriority w:val="0"/>
    <w:rPr>
      <w:rFonts w:ascii="Arial" w:hAnsi="Arial" w:eastAsia="黑体"/>
      <w:sz w:val="24"/>
      <w:lang w:val="en-US" w:eastAsia="zh-CN" w:bidi="ar-SA"/>
    </w:rPr>
  </w:style>
  <w:style w:type="character" w:customStyle="1" w:styleId="66">
    <w:name w:val="纯文本 Char"/>
    <w:link w:val="23"/>
    <w:autoRedefine/>
    <w:qFormat/>
    <w:uiPriority w:val="0"/>
    <w:rPr>
      <w:rFonts w:ascii="宋体" w:hAnsi="Courier New" w:eastAsia="宋体"/>
      <w:kern w:val="2"/>
      <w:sz w:val="21"/>
      <w:lang w:val="en-US" w:eastAsia="zh-CN" w:bidi="ar-SA"/>
    </w:rPr>
  </w:style>
  <w:style w:type="paragraph" w:customStyle="1" w:styleId="67">
    <w:name w:val="表正文"/>
    <w:basedOn w:val="1"/>
    <w:next w:val="23"/>
    <w:autoRedefine/>
    <w:qFormat/>
    <w:uiPriority w:val="0"/>
    <w:rPr>
      <w:rFonts w:ascii="宋体" w:hAnsi="Courier New"/>
      <w:szCs w:val="20"/>
    </w:rPr>
  </w:style>
  <w:style w:type="character" w:customStyle="1" w:styleId="68">
    <w:name w:val="正文文本缩进 Char"/>
    <w:link w:val="18"/>
    <w:autoRedefine/>
    <w:qFormat/>
    <w:uiPriority w:val="0"/>
    <w:rPr>
      <w:rFonts w:eastAsia="宋体"/>
      <w:kern w:val="2"/>
      <w:sz w:val="21"/>
      <w:szCs w:val="24"/>
      <w:lang w:val="en-US" w:eastAsia="zh-CN" w:bidi="ar-SA"/>
    </w:rPr>
  </w:style>
  <w:style w:type="character" w:customStyle="1" w:styleId="69">
    <w:name w:val="日期 Char2"/>
    <w:link w:val="24"/>
    <w:autoRedefine/>
    <w:qFormat/>
    <w:uiPriority w:val="0"/>
    <w:rPr>
      <w:rFonts w:ascii="楷体_GB2312" w:eastAsia="楷体_GB2312"/>
      <w:b/>
      <w:kern w:val="2"/>
      <w:sz w:val="28"/>
      <w:lang w:val="en-US" w:eastAsia="zh-CN" w:bidi="ar-SA"/>
    </w:rPr>
  </w:style>
  <w:style w:type="character" w:customStyle="1" w:styleId="70">
    <w:name w:val="页眉 Char1"/>
    <w:link w:val="28"/>
    <w:autoRedefine/>
    <w:qFormat/>
    <w:uiPriority w:val="0"/>
    <w:rPr>
      <w:rFonts w:eastAsia="宋体"/>
      <w:kern w:val="2"/>
      <w:sz w:val="18"/>
      <w:szCs w:val="18"/>
      <w:lang w:val="en-US" w:eastAsia="zh-CN" w:bidi="ar-SA"/>
    </w:rPr>
  </w:style>
  <w:style w:type="character" w:customStyle="1" w:styleId="71">
    <w:name w:val="页脚 Char"/>
    <w:link w:val="27"/>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7"/>
    <w:autoRedefine/>
    <w:qFormat/>
    <w:uiPriority w:val="0"/>
    <w:rPr>
      <w:rFonts w:eastAsia="宋体"/>
      <w:kern w:val="2"/>
      <w:sz w:val="21"/>
      <w:szCs w:val="24"/>
      <w:lang w:val="en-US" w:eastAsia="zh-CN" w:bidi="ar-SA"/>
    </w:rPr>
  </w:style>
  <w:style w:type="character" w:customStyle="1" w:styleId="75">
    <w:name w:val="正文文本 2 Char1"/>
    <w:link w:val="34"/>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8"/>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5"/>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2"/>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5"/>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5"/>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6"/>
    <w:autoRedefine/>
    <w:qFormat/>
    <w:uiPriority w:val="0"/>
    <w:rPr>
      <w:rFonts w:ascii="Tahoma" w:hAnsi="Tahoma"/>
      <w:sz w:val="24"/>
    </w:rPr>
  </w:style>
  <w:style w:type="paragraph" w:customStyle="1" w:styleId="141">
    <w:name w:val="Char Char Char"/>
    <w:basedOn w:val="16"/>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5"/>
    <w:autoRedefine/>
    <w:qFormat/>
    <w:uiPriority w:val="0"/>
  </w:style>
  <w:style w:type="paragraph" w:customStyle="1" w:styleId="153">
    <w:name w:val="样式 正文缩进 + 首行缩进:  2 字符"/>
    <w:basedOn w:val="6"/>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5"/>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39"/>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3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5"/>
    <w:link w:val="26"/>
    <w:qFormat/>
    <w:uiPriority w:val="0"/>
    <w:rPr>
      <w:kern w:val="2"/>
      <w:sz w:val="18"/>
      <w:szCs w:val="18"/>
    </w:rPr>
  </w:style>
  <w:style w:type="character" w:customStyle="1" w:styleId="201">
    <w:name w:val="正文文本缩进 3 Char"/>
    <w:basedOn w:val="45"/>
    <w:link w:val="32"/>
    <w:autoRedefine/>
    <w:qFormat/>
    <w:uiPriority w:val="0"/>
    <w:rPr>
      <w:kern w:val="2"/>
      <w:sz w:val="16"/>
      <w:szCs w:val="16"/>
    </w:rPr>
  </w:style>
  <w:style w:type="character" w:customStyle="1" w:styleId="202">
    <w:name w:val="HTML 预设格式 Char"/>
    <w:basedOn w:val="45"/>
    <w:link w:val="36"/>
    <w:qFormat/>
    <w:uiPriority w:val="0"/>
    <w:rPr>
      <w:rFonts w:ascii="黑体" w:hAnsi="Courier New" w:eastAsia="黑体" w:cs="Courier New"/>
    </w:rPr>
  </w:style>
  <w:style w:type="character" w:customStyle="1" w:styleId="203">
    <w:name w:val="批注主题 Char"/>
    <w:basedOn w:val="170"/>
    <w:link w:val="40"/>
    <w:autoRedefine/>
    <w:qFormat/>
    <w:uiPriority w:val="0"/>
    <w:rPr>
      <w:rFonts w:eastAsia="宋体"/>
      <w:b/>
      <w:bCs/>
      <w:kern w:val="2"/>
      <w:sz w:val="24"/>
      <w:szCs w:val="24"/>
      <w:lang w:val="en-US" w:eastAsia="zh-CN" w:bidi="ar-SA"/>
    </w:rPr>
  </w:style>
  <w:style w:type="character" w:customStyle="1" w:styleId="204">
    <w:name w:val="正文首行缩进 Char"/>
    <w:basedOn w:val="165"/>
    <w:link w:val="41"/>
    <w:autoRedefine/>
    <w:qFormat/>
    <w:uiPriority w:val="0"/>
    <w:rPr>
      <w:rFonts w:eastAsia="仿宋_GB2312"/>
      <w:kern w:val="2"/>
      <w:sz w:val="21"/>
      <w:szCs w:val="24"/>
      <w:lang w:val="en-US" w:eastAsia="zh-CN" w:bidi="ar-SA"/>
    </w:rPr>
  </w:style>
  <w:style w:type="character" w:customStyle="1" w:styleId="205">
    <w:name w:val="正文首行缩进 2 Char"/>
    <w:basedOn w:val="68"/>
    <w:link w:val="42"/>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autoRedefine/>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autoRedefine/>
    <w:qFormat/>
    <w:uiPriority w:val="0"/>
    <w:rPr>
      <w:rFonts w:hint="default" w:ascii="等线" w:hAnsi="等线" w:eastAsia="等线" w:cs="等线"/>
      <w:color w:val="000000"/>
      <w:sz w:val="22"/>
      <w:szCs w:val="22"/>
      <w:u w:val="none"/>
    </w:rPr>
  </w:style>
  <w:style w:type="character" w:customStyle="1" w:styleId="271">
    <w:name w:val="font51"/>
    <w:basedOn w:val="45"/>
    <w:autoRedefine/>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42399</Words>
  <Characters>44945</Characters>
  <Lines>490</Lines>
  <Paragraphs>138</Paragraphs>
  <TotalTime>7</TotalTime>
  <ScaleCrop>false</ScaleCrop>
  <LinksUpToDate>false</LinksUpToDate>
  <CharactersWithSpaces>52005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2025-11-20T01:42:07Z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