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绍兴市中医院飞利浦DSA保修项目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绍兴市中医院飞利浦DSA保修项目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绍兴市中医院飞利浦DSA保修项目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360000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360000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标项名称：飞利浦DSA保修项目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预算金额（元）：360000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w:t>
      </w:r>
      <w:bookmarkStart w:id="167" w:name="_GoBack"/>
      <w:bookmarkEnd w:id="167"/>
      <w:r>
        <w:rPr>
          <w:rFonts w:hint="eastAsia" w:ascii="仿宋" w:hAnsi="仿宋" w:eastAsia="仿宋" w:cs="仿宋"/>
          <w:color w:val="auto"/>
          <w:sz w:val="24"/>
          <w:highlight w:val="none"/>
        </w:rPr>
        <w:t>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808"/>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74714665"/>
      <w:bookmarkEnd w:id="21"/>
      <w:bookmarkStart w:id="22" w:name="_Hlt75236011"/>
      <w:bookmarkEnd w:id="22"/>
      <w:bookmarkStart w:id="23" w:name="_Hlt74729768"/>
      <w:bookmarkEnd w:id="23"/>
      <w:bookmarkStart w:id="24" w:name="_Hlt68073093"/>
      <w:bookmarkEnd w:id="24"/>
      <w:bookmarkStart w:id="25" w:name="_Hlt74730295"/>
      <w:bookmarkEnd w:id="25"/>
      <w:bookmarkStart w:id="26" w:name="_Hlt68403820"/>
      <w:bookmarkEnd w:id="26"/>
      <w:bookmarkStart w:id="27" w:name="_Hlt75236101"/>
      <w:bookmarkEnd w:id="27"/>
      <w:bookmarkStart w:id="28" w:name="_Hlt68072990"/>
      <w:bookmarkEnd w:id="28"/>
      <w:bookmarkStart w:id="29" w:name="_Hlt74707468"/>
      <w:bookmarkEnd w:id="29"/>
      <w:bookmarkStart w:id="30" w:name="_Hlt75236290"/>
      <w:bookmarkEnd w:id="30"/>
      <w:bookmarkStart w:id="31" w:name="_Hlt6807299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飞利浦DSA保修项目，预算360000元/3年，合同期限：自合同签订之日起三年。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7552"/>
      </w:tblGrid>
      <w:tr w14:paraId="5395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14:paraId="2E1F6CEE">
            <w:pPr>
              <w:keepNext w:val="0"/>
              <w:keepLines w:val="0"/>
              <w:pageBreakBefore w:val="0"/>
              <w:kinsoku/>
              <w:wordWrap/>
              <w:overflowPunct/>
              <w:topLinePunct w:val="0"/>
              <w:autoSpaceDE/>
              <w:autoSpaceDN/>
              <w:bidi w:val="0"/>
              <w:adjustRightInd/>
              <w:snapToGrid/>
              <w:spacing w:after="0" w:line="280" w:lineRule="exact"/>
              <w:jc w:val="center"/>
              <w:textAlignment w:val="auto"/>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序号</w:t>
            </w:r>
          </w:p>
        </w:tc>
        <w:tc>
          <w:tcPr>
            <w:tcW w:w="7907" w:type="dxa"/>
            <w:noWrap w:val="0"/>
            <w:vAlign w:val="center"/>
          </w:tcPr>
          <w:p w14:paraId="63A617EC">
            <w:pPr>
              <w:keepNext w:val="0"/>
              <w:keepLines w:val="0"/>
              <w:pageBreakBefore w:val="0"/>
              <w:kinsoku/>
              <w:wordWrap/>
              <w:overflowPunct/>
              <w:topLinePunct w:val="0"/>
              <w:autoSpaceDE/>
              <w:autoSpaceDN/>
              <w:bidi w:val="0"/>
              <w:adjustRightInd/>
              <w:snapToGrid/>
              <w:spacing w:after="0" w:line="280" w:lineRule="exact"/>
              <w:jc w:val="center"/>
              <w:textAlignment w:val="auto"/>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内容</w:t>
            </w:r>
          </w:p>
        </w:tc>
      </w:tr>
      <w:tr w14:paraId="72DE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9" w:type="dxa"/>
            <w:noWrap w:val="0"/>
            <w:vAlign w:val="center"/>
          </w:tcPr>
          <w:p w14:paraId="2165C0D2">
            <w:pPr>
              <w:keepNext w:val="0"/>
              <w:keepLines w:val="0"/>
              <w:pageBreakBefore w:val="0"/>
              <w:kinsoku/>
              <w:wordWrap/>
              <w:overflowPunct/>
              <w:topLinePunct w:val="0"/>
              <w:autoSpaceDE/>
              <w:autoSpaceDN/>
              <w:bidi w:val="0"/>
              <w:adjustRightInd/>
              <w:snapToGrid/>
              <w:spacing w:after="0" w:line="280" w:lineRule="exact"/>
              <w:jc w:val="center"/>
              <w:textAlignment w:val="auto"/>
              <w:rPr>
                <w:rFonts w:hint="eastAsia" w:ascii="仿宋" w:hAnsi="仿宋" w:eastAsia="仿宋" w:cs="仿宋"/>
                <w:b/>
                <w:color w:val="00000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w:t>
            </w:r>
          </w:p>
        </w:tc>
        <w:tc>
          <w:tcPr>
            <w:tcW w:w="7907" w:type="dxa"/>
            <w:noWrap w:val="0"/>
            <w:vAlign w:val="center"/>
          </w:tcPr>
          <w:p w14:paraId="7E410AC2">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保修内容：飞利浦</w:t>
            </w:r>
            <w:r>
              <w:rPr>
                <w:rFonts w:hint="eastAsia" w:ascii="仿宋" w:hAnsi="仿宋" w:eastAsia="仿宋" w:cs="仿宋"/>
                <w:sz w:val="21"/>
                <w:szCs w:val="21"/>
                <w:highlight w:val="none"/>
                <w:lang w:val="en-US" w:eastAsia="zh-CN"/>
              </w:rPr>
              <w:t>Azurion 7 M20 DSA 1台，3年10次人工及6次保养（限次人工保修，不含配件、第三方设备）</w:t>
            </w:r>
          </w:p>
          <w:p w14:paraId="6F736A6A">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保修期限：3年</w:t>
            </w:r>
          </w:p>
        </w:tc>
      </w:tr>
      <w:tr w14:paraId="79AC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9" w:type="dxa"/>
            <w:noWrap w:val="0"/>
            <w:vAlign w:val="center"/>
          </w:tcPr>
          <w:p w14:paraId="68E7D6AE">
            <w:pPr>
              <w:keepNext w:val="0"/>
              <w:keepLines w:val="0"/>
              <w:pageBreakBefore w:val="0"/>
              <w:kinsoku/>
              <w:wordWrap/>
              <w:overflowPunct/>
              <w:topLinePunct w:val="0"/>
              <w:autoSpaceDE/>
              <w:autoSpaceDN/>
              <w:bidi w:val="0"/>
              <w:adjustRightInd/>
              <w:snapToGrid/>
              <w:spacing w:after="0"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w:t>
            </w:r>
          </w:p>
        </w:tc>
        <w:tc>
          <w:tcPr>
            <w:tcW w:w="7907" w:type="dxa"/>
            <w:noWrap w:val="0"/>
            <w:vAlign w:val="center"/>
          </w:tcPr>
          <w:p w14:paraId="2A482D3A">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具备24小时800或400等客户服务专线电话，有专人接听并全程协调资源。</w:t>
            </w:r>
          </w:p>
        </w:tc>
      </w:tr>
      <w:tr w14:paraId="0C28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59" w:type="dxa"/>
            <w:noWrap w:val="0"/>
            <w:vAlign w:val="center"/>
          </w:tcPr>
          <w:p w14:paraId="3B8AF244">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sz w:val="21"/>
                <w:szCs w:val="21"/>
                <w:highlight w:val="none"/>
                <w:lang w:val="en-US" w:eastAsia="zh-CN"/>
              </w:rPr>
              <w:t>3</w:t>
            </w:r>
          </w:p>
        </w:tc>
        <w:tc>
          <w:tcPr>
            <w:tcW w:w="7907" w:type="dxa"/>
            <w:noWrap w:val="0"/>
            <w:vAlign w:val="center"/>
          </w:tcPr>
          <w:p w14:paraId="3223A0BA">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每年</w:t>
            </w:r>
            <w:r>
              <w:rPr>
                <w:rFonts w:hint="eastAsia" w:ascii="仿宋" w:hAnsi="仿宋" w:eastAsia="仿宋" w:cs="仿宋"/>
                <w:sz w:val="21"/>
                <w:szCs w:val="21"/>
                <w:highlight w:val="none"/>
                <w:lang w:val="en-US" w:eastAsia="zh-CN"/>
              </w:rPr>
              <w:t>按照要求</w:t>
            </w:r>
            <w:r>
              <w:rPr>
                <w:rFonts w:hint="eastAsia" w:ascii="仿宋" w:hAnsi="仿宋" w:eastAsia="仿宋" w:cs="仿宋"/>
                <w:sz w:val="21"/>
                <w:szCs w:val="21"/>
                <w:highlight w:val="none"/>
                <w:lang w:eastAsia="zh-CN"/>
              </w:rPr>
              <w:t>上门为整机提供安全检查，影像质量检查。</w:t>
            </w:r>
          </w:p>
        </w:tc>
      </w:tr>
      <w:tr w14:paraId="777F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59" w:type="dxa"/>
            <w:noWrap w:val="0"/>
            <w:vAlign w:val="center"/>
          </w:tcPr>
          <w:p w14:paraId="312EC387">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sz w:val="21"/>
                <w:szCs w:val="21"/>
                <w:highlight w:val="none"/>
                <w:lang w:val="en-US" w:eastAsia="zh-CN"/>
              </w:rPr>
              <w:t>4</w:t>
            </w:r>
          </w:p>
        </w:tc>
        <w:tc>
          <w:tcPr>
            <w:tcW w:w="7907" w:type="dxa"/>
            <w:noWrap w:val="0"/>
            <w:vAlign w:val="center"/>
          </w:tcPr>
          <w:p w14:paraId="6395E417">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具有中国境内两个及以上备件库，以保证备件及时供应（提供详细地址）。</w:t>
            </w:r>
          </w:p>
        </w:tc>
      </w:tr>
      <w:tr w14:paraId="2376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120600FD">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sz w:val="21"/>
                <w:szCs w:val="21"/>
                <w:highlight w:val="none"/>
                <w:lang w:val="en-US" w:eastAsia="zh-CN"/>
              </w:rPr>
              <w:t>▲5</w:t>
            </w:r>
          </w:p>
        </w:tc>
        <w:tc>
          <w:tcPr>
            <w:tcW w:w="7907" w:type="dxa"/>
            <w:noWrap w:val="0"/>
            <w:vAlign w:val="center"/>
          </w:tcPr>
          <w:p w14:paraId="691D66C3">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投标企业所提供备件必须是原厂全新备件，提供备件库存情况证明文件（不得使用二手备件，提供备件需有可追溯性）。</w:t>
            </w:r>
          </w:p>
        </w:tc>
      </w:tr>
      <w:tr w14:paraId="2490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59" w:type="dxa"/>
            <w:noWrap w:val="0"/>
            <w:vAlign w:val="center"/>
          </w:tcPr>
          <w:p w14:paraId="48A5D854">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sz w:val="21"/>
                <w:szCs w:val="21"/>
                <w:highlight w:val="none"/>
                <w:lang w:val="en-US" w:eastAsia="zh-CN"/>
              </w:rPr>
              <w:t>6</w:t>
            </w:r>
          </w:p>
        </w:tc>
        <w:tc>
          <w:tcPr>
            <w:tcW w:w="7907" w:type="dxa"/>
            <w:noWrap w:val="0"/>
            <w:vAlign w:val="center"/>
          </w:tcPr>
          <w:p w14:paraId="3A82C729">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免费提供设备的系统软件及硬件的安全性改版升级和技术支持。</w:t>
            </w:r>
          </w:p>
        </w:tc>
      </w:tr>
      <w:tr w14:paraId="153A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59" w:type="dxa"/>
            <w:noWrap w:val="0"/>
            <w:vAlign w:val="center"/>
          </w:tcPr>
          <w:p w14:paraId="79076987">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7</w:t>
            </w:r>
          </w:p>
        </w:tc>
        <w:tc>
          <w:tcPr>
            <w:tcW w:w="7907" w:type="dxa"/>
            <w:noWrap w:val="0"/>
            <w:vAlign w:val="center"/>
          </w:tcPr>
          <w:p w14:paraId="30953346">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保修期内提供</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lang w:eastAsia="zh-CN"/>
              </w:rPr>
              <w:t>次现场维修（</w:t>
            </w:r>
            <w:r>
              <w:rPr>
                <w:rFonts w:hint="eastAsia" w:ascii="仿宋" w:hAnsi="仿宋" w:eastAsia="仿宋" w:cs="仿宋"/>
                <w:sz w:val="21"/>
                <w:szCs w:val="21"/>
                <w:highlight w:val="none"/>
                <w:lang w:val="en-US" w:eastAsia="zh-CN"/>
              </w:rPr>
              <w:t>不包含</w:t>
            </w:r>
            <w:r>
              <w:rPr>
                <w:rFonts w:hint="eastAsia" w:ascii="仿宋" w:hAnsi="仿宋" w:eastAsia="仿宋" w:cs="仿宋"/>
                <w:sz w:val="21"/>
                <w:szCs w:val="21"/>
                <w:highlight w:val="none"/>
                <w:lang w:eastAsia="zh-CN"/>
              </w:rPr>
              <w:t>备件）。</w:t>
            </w:r>
          </w:p>
        </w:tc>
      </w:tr>
      <w:tr w14:paraId="033A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59" w:type="dxa"/>
            <w:noWrap w:val="0"/>
            <w:vAlign w:val="center"/>
          </w:tcPr>
          <w:p w14:paraId="011FCEDD">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8</w:t>
            </w:r>
          </w:p>
        </w:tc>
        <w:tc>
          <w:tcPr>
            <w:tcW w:w="7907" w:type="dxa"/>
            <w:noWrap w:val="0"/>
            <w:vAlign w:val="center"/>
          </w:tcPr>
          <w:p w14:paraId="2187BC35">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所保设备提供系统及配套设备的相关软件、数字备份，并建立档案。</w:t>
            </w:r>
          </w:p>
        </w:tc>
      </w:tr>
      <w:tr w14:paraId="06C3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59" w:type="dxa"/>
            <w:noWrap w:val="0"/>
            <w:vAlign w:val="center"/>
          </w:tcPr>
          <w:p w14:paraId="65EEAF38">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9</w:t>
            </w:r>
          </w:p>
        </w:tc>
        <w:tc>
          <w:tcPr>
            <w:tcW w:w="7907" w:type="dxa"/>
            <w:noWrap w:val="0"/>
            <w:vAlign w:val="center"/>
          </w:tcPr>
          <w:p w14:paraId="1EA22AF0">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在保修服务期内</w:t>
            </w:r>
            <w:r>
              <w:rPr>
                <w:rFonts w:hint="eastAsia" w:ascii="仿宋" w:hAnsi="仿宋" w:eastAsia="仿宋" w:cs="仿宋"/>
                <w:sz w:val="21"/>
                <w:szCs w:val="21"/>
                <w:highlight w:val="none"/>
                <w:lang w:val="en-US" w:eastAsia="zh-CN"/>
              </w:rPr>
              <w:t>保养</w:t>
            </w:r>
            <w:r>
              <w:rPr>
                <w:rFonts w:hint="eastAsia" w:ascii="仿宋" w:hAnsi="仿宋" w:eastAsia="仿宋" w:cs="仿宋"/>
                <w:sz w:val="21"/>
                <w:szCs w:val="21"/>
                <w:highlight w:val="none"/>
                <w:lang w:eastAsia="zh-CN"/>
              </w:rPr>
              <w:t>所需的相关辅助设备和材料均由中标</w:t>
            </w:r>
            <w:r>
              <w:rPr>
                <w:rFonts w:hint="eastAsia" w:ascii="仿宋" w:hAnsi="仿宋" w:eastAsia="仿宋" w:cs="仿宋"/>
                <w:sz w:val="21"/>
                <w:szCs w:val="21"/>
                <w:highlight w:val="none"/>
                <w:lang w:val="en-US" w:eastAsia="zh-CN"/>
              </w:rPr>
              <w:t>人</w:t>
            </w:r>
            <w:r>
              <w:rPr>
                <w:rFonts w:hint="eastAsia" w:ascii="仿宋" w:hAnsi="仿宋" w:eastAsia="仿宋" w:cs="仿宋"/>
                <w:sz w:val="21"/>
                <w:szCs w:val="21"/>
                <w:highlight w:val="none"/>
                <w:lang w:eastAsia="zh-CN"/>
              </w:rPr>
              <w:t>提供。</w:t>
            </w:r>
          </w:p>
        </w:tc>
      </w:tr>
      <w:tr w14:paraId="65CA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52609C1A">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sz w:val="21"/>
                <w:szCs w:val="21"/>
                <w:highlight w:val="none"/>
                <w:lang w:val="en-US" w:eastAsia="zh-CN"/>
              </w:rPr>
              <w:t>★10</w:t>
            </w:r>
          </w:p>
        </w:tc>
        <w:tc>
          <w:tcPr>
            <w:tcW w:w="7907" w:type="dxa"/>
            <w:noWrap w:val="0"/>
            <w:vAlign w:val="center"/>
          </w:tcPr>
          <w:p w14:paraId="57975C25">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保障开机率≥9</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lang w:eastAsia="zh-CN"/>
              </w:rPr>
              <w:t>%（按每年365天计），若所保设备未达到以上开机率保证(</w:t>
            </w:r>
            <w:r>
              <w:rPr>
                <w:rFonts w:hint="eastAsia" w:ascii="仿宋" w:hAnsi="仿宋" w:eastAsia="仿宋" w:cs="仿宋"/>
                <w:sz w:val="21"/>
                <w:szCs w:val="21"/>
                <w:highlight w:val="none"/>
                <w:lang w:val="en-US" w:eastAsia="zh-CN"/>
              </w:rPr>
              <w:t>更换配件时间及</w:t>
            </w:r>
            <w:r>
              <w:rPr>
                <w:rFonts w:hint="eastAsia" w:ascii="仿宋" w:hAnsi="仿宋" w:eastAsia="仿宋" w:cs="仿宋"/>
                <w:sz w:val="21"/>
                <w:szCs w:val="21"/>
                <w:highlight w:val="none"/>
                <w:lang w:eastAsia="zh-CN"/>
              </w:rPr>
              <w:t>不可抗力情况除外，不可抗力应指任何遭受不可抗力方无法预见的且超出其合理控制的事件)，则</w:t>
            </w:r>
            <w:r>
              <w:rPr>
                <w:rFonts w:hint="eastAsia" w:ascii="仿宋" w:hAnsi="仿宋" w:eastAsia="仿宋" w:cs="仿宋"/>
                <w:sz w:val="21"/>
                <w:szCs w:val="21"/>
                <w:highlight w:val="none"/>
                <w:lang w:val="en-US" w:eastAsia="zh-CN"/>
              </w:rPr>
              <w:t>每超出一天保修期顺延7天，</w:t>
            </w:r>
            <w:r>
              <w:rPr>
                <w:rFonts w:hint="eastAsia" w:ascii="仿宋" w:hAnsi="仿宋" w:eastAsia="仿宋" w:cs="仿宋"/>
                <w:b/>
                <w:bCs/>
                <w:sz w:val="21"/>
                <w:szCs w:val="21"/>
                <w:highlight w:val="none"/>
                <w:lang w:val="en-US" w:eastAsia="zh-CN"/>
              </w:rPr>
              <w:t>提供承诺书，未提供作无效标处理</w:t>
            </w:r>
            <w:r>
              <w:rPr>
                <w:rFonts w:hint="eastAsia" w:ascii="仿宋" w:hAnsi="仿宋" w:eastAsia="仿宋" w:cs="仿宋"/>
                <w:sz w:val="21"/>
                <w:szCs w:val="21"/>
                <w:highlight w:val="none"/>
                <w:lang w:val="en-US" w:eastAsia="zh-CN"/>
              </w:rPr>
              <w:t>。</w:t>
            </w:r>
          </w:p>
        </w:tc>
      </w:tr>
      <w:tr w14:paraId="4247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49BA5B48">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7907" w:type="dxa"/>
            <w:noWrap w:val="0"/>
            <w:vAlign w:val="center"/>
          </w:tcPr>
          <w:p w14:paraId="4287D736">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在保修服务期内提供24小时技术电话支持（24小时</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lang w:eastAsia="zh-CN"/>
              </w:rPr>
              <w:t>365天），</w:t>
            </w:r>
            <w:r>
              <w:rPr>
                <w:rFonts w:hint="eastAsia" w:ascii="仿宋" w:hAnsi="仿宋" w:eastAsia="仿宋" w:cs="仿宋"/>
                <w:sz w:val="21"/>
                <w:szCs w:val="21"/>
                <w:highlight w:val="none"/>
              </w:rPr>
              <w:t>技术支持专家支持工程师≥</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人，并提供维修资质证明文件及社保缴纳证明。</w:t>
            </w:r>
          </w:p>
        </w:tc>
      </w:tr>
      <w:tr w14:paraId="7579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26A88D85">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c>
          <w:tcPr>
            <w:tcW w:w="7907" w:type="dxa"/>
            <w:noWrap w:val="0"/>
            <w:vAlign w:val="center"/>
          </w:tcPr>
          <w:p w14:paraId="38DDCC77">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免费提供远程诊断功能，能实现远程可视化中央控制、实施管理，对故障有预判性，可远程处理简单故障。</w:t>
            </w:r>
          </w:p>
        </w:tc>
      </w:tr>
      <w:tr w14:paraId="726E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70BDB7A1">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SA"/>
              </w:rPr>
              <w:t>▲</w:t>
            </w:r>
            <w:r>
              <w:rPr>
                <w:rFonts w:hint="eastAsia" w:ascii="仿宋" w:hAnsi="仿宋" w:eastAsia="仿宋" w:cs="仿宋"/>
                <w:sz w:val="21"/>
                <w:szCs w:val="21"/>
                <w:highlight w:val="none"/>
                <w:lang w:val="en-US" w:eastAsia="zh-CN"/>
              </w:rPr>
              <w:t>13</w:t>
            </w:r>
          </w:p>
        </w:tc>
        <w:tc>
          <w:tcPr>
            <w:tcW w:w="7907" w:type="dxa"/>
            <w:noWrap w:val="0"/>
            <w:vAlign w:val="center"/>
          </w:tcPr>
          <w:p w14:paraId="3213036E">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投标企业需配备拥有DSA设备工程师≥</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lang w:eastAsia="zh-CN"/>
              </w:rPr>
              <w:t>名(如投标</w:t>
            </w:r>
            <w:r>
              <w:rPr>
                <w:rFonts w:hint="eastAsia" w:ascii="仿宋" w:hAnsi="仿宋" w:eastAsia="仿宋" w:cs="仿宋"/>
                <w:sz w:val="21"/>
                <w:szCs w:val="21"/>
                <w:highlight w:val="none"/>
                <w:lang w:val="en-US" w:eastAsia="zh-CN"/>
              </w:rPr>
              <w:t>人</w:t>
            </w:r>
            <w:r>
              <w:rPr>
                <w:rFonts w:hint="eastAsia" w:ascii="仿宋" w:hAnsi="仿宋" w:eastAsia="仿宋" w:cs="仿宋"/>
                <w:sz w:val="21"/>
                <w:szCs w:val="21"/>
                <w:highlight w:val="none"/>
                <w:lang w:eastAsia="zh-CN"/>
              </w:rPr>
              <w:t>为原厂或原厂正规授权代理商，可提供原厂工程师工作证等相关资料)。</w:t>
            </w:r>
          </w:p>
        </w:tc>
      </w:tr>
      <w:tr w14:paraId="74D6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304B8A6D">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color w:val="auto"/>
                <w:kern w:val="0"/>
                <w:sz w:val="21"/>
                <w:szCs w:val="21"/>
                <w:highlight w:val="none"/>
                <w:lang w:val="en-US" w:eastAsia="zh-CN" w:bidi="ar-SA"/>
              </w:rPr>
              <w:t>▲</w:t>
            </w:r>
            <w:r>
              <w:rPr>
                <w:rFonts w:hint="eastAsia" w:ascii="仿宋" w:hAnsi="仿宋" w:eastAsia="仿宋" w:cs="仿宋"/>
                <w:sz w:val="21"/>
                <w:szCs w:val="21"/>
                <w:highlight w:val="none"/>
                <w:lang w:val="en-US" w:eastAsia="zh-CN"/>
              </w:rPr>
              <w:t>14</w:t>
            </w:r>
          </w:p>
        </w:tc>
        <w:tc>
          <w:tcPr>
            <w:tcW w:w="7907" w:type="dxa"/>
            <w:noWrap w:val="0"/>
            <w:vAlign w:val="center"/>
          </w:tcPr>
          <w:p w14:paraId="4A914BC3">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响应时间要求：接到报修电话后1小时内提供专业工程师电话支持。如需派工上门，2小时内确认派工信息和工程师到达医院所在地时间。自接报修电话始，在12小时内派工程师到现场实施维修。</w:t>
            </w:r>
          </w:p>
        </w:tc>
      </w:tr>
      <w:tr w14:paraId="42FE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59" w:type="dxa"/>
            <w:noWrap w:val="0"/>
            <w:vAlign w:val="center"/>
          </w:tcPr>
          <w:p w14:paraId="06389CC4">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w:t>
            </w:r>
          </w:p>
        </w:tc>
        <w:tc>
          <w:tcPr>
            <w:tcW w:w="7907" w:type="dxa"/>
            <w:noWrap w:val="0"/>
            <w:vAlign w:val="center"/>
          </w:tcPr>
          <w:p w14:paraId="7D5FA348">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对保修设备及相关配套设备作出日常保养计划，定期进行保养、维护，并做好记录</w:t>
            </w:r>
            <w:r>
              <w:rPr>
                <w:rFonts w:hint="eastAsia" w:ascii="仿宋" w:hAnsi="仿宋" w:eastAsia="仿宋" w:cs="仿宋"/>
                <w:sz w:val="21"/>
                <w:szCs w:val="21"/>
                <w:highlight w:val="none"/>
                <w:lang w:val="en-US" w:eastAsia="zh-CN"/>
              </w:rPr>
              <w:t>且提供年度汇总报告</w:t>
            </w:r>
            <w:r>
              <w:rPr>
                <w:rFonts w:hint="eastAsia" w:ascii="仿宋" w:hAnsi="仿宋" w:eastAsia="仿宋" w:cs="仿宋"/>
                <w:sz w:val="21"/>
                <w:szCs w:val="21"/>
                <w:highlight w:val="none"/>
                <w:lang w:eastAsia="zh-CN"/>
              </w:rPr>
              <w:t>。</w:t>
            </w:r>
          </w:p>
        </w:tc>
      </w:tr>
      <w:tr w14:paraId="10DD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9" w:type="dxa"/>
            <w:noWrap w:val="0"/>
            <w:vAlign w:val="center"/>
          </w:tcPr>
          <w:p w14:paraId="25F4E5B6">
            <w:pPr>
              <w:pStyle w:val="955"/>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16</w:t>
            </w:r>
          </w:p>
        </w:tc>
        <w:tc>
          <w:tcPr>
            <w:tcW w:w="7907" w:type="dxa"/>
            <w:noWrap w:val="0"/>
            <w:vAlign w:val="center"/>
          </w:tcPr>
          <w:p w14:paraId="0CA01708">
            <w:pPr>
              <w:keepNext w:val="0"/>
              <w:keepLines w:val="0"/>
              <w:pageBreakBefore w:val="0"/>
              <w:widowControl/>
              <w:kinsoku/>
              <w:wordWrap/>
              <w:overflowPunct/>
              <w:topLinePunct w:val="0"/>
              <w:autoSpaceDE/>
              <w:autoSpaceDN/>
              <w:bidi w:val="0"/>
              <w:adjustRightInd/>
              <w:snapToGrid/>
              <w:spacing w:after="0" w:line="28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eastAsia="zh-CN"/>
              </w:rPr>
              <w:t>每年为保修设备提供</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eastAsia="zh-CN"/>
              </w:rPr>
              <w:t>次维护保养服务，并做好记录（设备清洁、性能测试及校准、必要的机械或电气的检查，根据客户要求对设备的数据进行备份。根据用户要求的时间段，进行保养工作。）</w:t>
            </w:r>
          </w:p>
        </w:tc>
      </w:tr>
    </w:tbl>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41ACDDDC">
      <w:pPr>
        <w:spacing w:after="0"/>
        <w:rPr>
          <w:rFonts w:hint="eastAsia" w:ascii="仿宋" w:hAnsi="仿宋" w:eastAsia="仿宋" w:cs="仿宋"/>
          <w:sz w:val="24"/>
          <w:szCs w:val="24"/>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2"/>
        <w:ind w:firstLine="480" w:firstLineChars="200"/>
        <w:rPr>
          <w:rFonts w:hint="eastAsia" w:ascii="仿宋" w:hAnsi="仿宋" w:eastAsia="仿宋" w:cs="仿宋"/>
          <w:sz w:val="24"/>
          <w:szCs w:val="24"/>
          <w:highlight w:val="none"/>
        </w:rPr>
      </w:pPr>
    </w:p>
    <w:p w14:paraId="39304031">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4"/>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5367"/>
      <w:bookmarkStart w:id="39" w:name="_Toc22967"/>
      <w:bookmarkStart w:id="40" w:name="_Toc19273"/>
      <w:bookmarkStart w:id="41" w:name="_Toc20421"/>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773"/>
      <w:bookmarkStart w:id="45" w:name="_Toc2918"/>
      <w:bookmarkStart w:id="46" w:name="_Toc6311"/>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13918"/>
      <w:bookmarkStart w:id="50" w:name="_Toc21124"/>
      <w:bookmarkStart w:id="51" w:name="_Toc4929"/>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654"/>
      <w:bookmarkStart w:id="54" w:name="_Toc30158"/>
      <w:bookmarkStart w:id="55" w:name="_Toc26916"/>
      <w:bookmarkStart w:id="56" w:name="_Toc30506"/>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10340"/>
      <w:bookmarkStart w:id="60" w:name="_Toc22618"/>
      <w:bookmarkStart w:id="61" w:name="_Toc31421"/>
      <w:bookmarkStart w:id="62" w:name="_Toc4760"/>
      <w:bookmarkStart w:id="63" w:name="_Toc3625"/>
      <w:bookmarkStart w:id="64" w:name="_Toc11108"/>
      <w:bookmarkStart w:id="65" w:name="_Toc8772"/>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8586"/>
      <w:bookmarkStart w:id="68" w:name="_Toc3079"/>
      <w:bookmarkStart w:id="69" w:name="_Toc2375"/>
      <w:bookmarkStart w:id="70" w:name="_Toc5698"/>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26807"/>
      <w:bookmarkStart w:id="73" w:name="_Toc18683"/>
      <w:bookmarkStart w:id="74" w:name="_Toc32454"/>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11173"/>
      <w:bookmarkStart w:id="81" w:name="_Toc7245"/>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31297"/>
      <w:bookmarkStart w:id="84" w:name="_Toc5228"/>
      <w:bookmarkStart w:id="85" w:name="_Toc25079"/>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19539"/>
      <w:bookmarkStart w:id="88" w:name="_Toc16752"/>
      <w:bookmarkStart w:id="89" w:name="_Toc31402"/>
      <w:bookmarkStart w:id="90" w:name="_Toc376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4133"/>
      <w:bookmarkStart w:id="94" w:name="_Toc27945"/>
      <w:bookmarkStart w:id="95" w:name="_Toc9161"/>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32670"/>
      <w:bookmarkStart w:id="99" w:name="_Toc31233"/>
      <w:bookmarkStart w:id="100" w:name="_Toc15447"/>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3154"/>
      <w:bookmarkStart w:id="104" w:name="_Toc16163"/>
      <w:bookmarkStart w:id="105" w:name="_Toc18990"/>
      <w:bookmarkStart w:id="106" w:name="_Toc1346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21830"/>
      <w:bookmarkStart w:id="112" w:name="_Toc10663"/>
      <w:bookmarkStart w:id="113" w:name="_Toc23368"/>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25571"/>
      <w:bookmarkStart w:id="117" w:name="_Toc26633"/>
      <w:bookmarkStart w:id="118" w:name="_Toc4720"/>
      <w:bookmarkStart w:id="119" w:name="_Toc14371"/>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3854"/>
      <w:bookmarkStart w:id="122" w:name="_Toc25783"/>
      <w:bookmarkStart w:id="123" w:name="_Toc3638"/>
      <w:bookmarkStart w:id="124" w:name="_Toc14115"/>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26883"/>
      <w:bookmarkStart w:id="127" w:name="_Toc25525"/>
      <w:bookmarkStart w:id="128" w:name="_Toc7315"/>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016"/>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25198"/>
      <w:bookmarkStart w:id="138" w:name="_Toc12666"/>
      <w:bookmarkStart w:id="139" w:name="_Toc2308"/>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8906"/>
      <w:bookmarkStart w:id="144" w:name="_Toc5063"/>
      <w:bookmarkStart w:id="145" w:name="_Toc12254"/>
      <w:bookmarkStart w:id="146" w:name="_Toc20808"/>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259093692"/>
      <w:bookmarkStart w:id="152" w:name="_Toc279701263"/>
      <w:bookmarkStart w:id="153" w:name="_Toc18567"/>
      <w:bookmarkStart w:id="154" w:name="_Toc12773"/>
      <w:bookmarkStart w:id="155" w:name="_Toc487900373"/>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1.满足招标文件要求的得35分，打“▲”号的指标为主要功能、配置，如出现负偏离每项扣4分；其他一般性指标每有一项负偏离的扣3分，扣完为止。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维修技术力量：技术支持工程师至少1人,每增加1人得1分，最多得2分；专职维修工程师至少2人,每增加1人得1分，最多得3分。上述人员须提供最近的社保缴纳证明资料加盖投标人公章。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售后服务保修期限、售后服务响应时间、措施和方案。根据服务响应、维修成本等方面进行评审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6,5,4，</w:t>
            </w:r>
            <w:r>
              <w:rPr>
                <w:rFonts w:hint="eastAsia" w:ascii="仿宋" w:hAnsi="仿宋" w:eastAsia="仿宋" w:cs="仿宋"/>
                <w:sz w:val="21"/>
                <w:szCs w:val="21"/>
                <w:highlight w:val="none"/>
              </w:rPr>
              <w:t>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default"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6</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4"/>
        <w:snapToGrid w:val="0"/>
        <w:spacing w:line="360" w:lineRule="auto"/>
        <w:ind w:firstLine="0" w:firstLineChars="0"/>
        <w:rPr>
          <w:rFonts w:hint="eastAsia" w:ascii="仿宋" w:hAnsi="仿宋" w:eastAsia="仿宋" w:cs="仿宋"/>
          <w:color w:val="auto"/>
          <w:highlight w:val="none"/>
        </w:rPr>
      </w:pPr>
    </w:p>
    <w:p w14:paraId="57C05F54">
      <w:pPr>
        <w:pStyle w:val="24"/>
        <w:snapToGrid w:val="0"/>
        <w:spacing w:line="360" w:lineRule="auto"/>
        <w:ind w:firstLine="0" w:firstLineChars="0"/>
        <w:rPr>
          <w:rFonts w:hint="eastAsia" w:ascii="仿宋" w:hAnsi="仿宋" w:eastAsia="仿宋" w:cs="仿宋"/>
          <w:color w:val="auto"/>
          <w:highlight w:val="none"/>
        </w:rPr>
      </w:pPr>
    </w:p>
    <w:p w14:paraId="18A34E3D">
      <w:pPr>
        <w:pStyle w:val="24"/>
        <w:snapToGrid w:val="0"/>
        <w:spacing w:line="360" w:lineRule="auto"/>
        <w:ind w:firstLine="0" w:firstLineChars="0"/>
        <w:rPr>
          <w:rFonts w:hint="eastAsia" w:ascii="仿宋" w:hAnsi="仿宋" w:eastAsia="仿宋" w:cs="仿宋"/>
          <w:color w:val="auto"/>
          <w:highlight w:val="none"/>
        </w:rPr>
      </w:pPr>
    </w:p>
    <w:p w14:paraId="5268CF28">
      <w:pPr>
        <w:pStyle w:val="24"/>
        <w:snapToGrid w:val="0"/>
        <w:spacing w:line="360" w:lineRule="auto"/>
        <w:ind w:firstLine="0" w:firstLineChars="0"/>
        <w:rPr>
          <w:rFonts w:hint="eastAsia" w:ascii="仿宋" w:hAnsi="仿宋" w:eastAsia="仿宋" w:cs="仿宋"/>
          <w:color w:val="auto"/>
          <w:highlight w:val="none"/>
        </w:rPr>
      </w:pPr>
    </w:p>
    <w:p w14:paraId="02591248">
      <w:pPr>
        <w:pStyle w:val="24"/>
        <w:snapToGrid w:val="0"/>
        <w:spacing w:line="360" w:lineRule="auto"/>
        <w:ind w:firstLine="0" w:firstLineChars="0"/>
        <w:rPr>
          <w:rFonts w:hint="eastAsia" w:ascii="仿宋" w:hAnsi="仿宋" w:eastAsia="仿宋" w:cs="仿宋"/>
          <w:color w:val="auto"/>
          <w:highlight w:val="none"/>
        </w:rPr>
      </w:pPr>
    </w:p>
    <w:p w14:paraId="3291E7FF">
      <w:pPr>
        <w:pStyle w:val="24"/>
        <w:snapToGrid w:val="0"/>
        <w:spacing w:line="360" w:lineRule="auto"/>
        <w:ind w:firstLine="0" w:firstLineChars="0"/>
        <w:rPr>
          <w:rFonts w:hint="eastAsia" w:ascii="仿宋" w:hAnsi="仿宋" w:eastAsia="仿宋" w:cs="仿宋"/>
          <w:color w:val="auto"/>
          <w:highlight w:val="none"/>
        </w:rPr>
      </w:pPr>
    </w:p>
    <w:p w14:paraId="332AAB99">
      <w:pPr>
        <w:pStyle w:val="24"/>
        <w:snapToGrid w:val="0"/>
        <w:spacing w:line="360" w:lineRule="auto"/>
        <w:ind w:firstLine="0" w:firstLineChars="0"/>
        <w:rPr>
          <w:rFonts w:hint="eastAsia" w:ascii="仿宋" w:hAnsi="仿宋" w:eastAsia="仿宋" w:cs="仿宋"/>
          <w:color w:val="auto"/>
          <w:highlight w:val="none"/>
        </w:rPr>
      </w:pPr>
    </w:p>
    <w:p w14:paraId="35CBB1C9">
      <w:pPr>
        <w:pStyle w:val="24"/>
        <w:snapToGrid w:val="0"/>
        <w:spacing w:line="360" w:lineRule="auto"/>
        <w:ind w:firstLine="0" w:firstLineChars="0"/>
        <w:rPr>
          <w:rFonts w:hint="eastAsia" w:ascii="仿宋" w:hAnsi="仿宋" w:eastAsia="仿宋" w:cs="仿宋"/>
          <w:color w:val="auto"/>
          <w:highlight w:val="none"/>
        </w:rPr>
      </w:pPr>
    </w:p>
    <w:p w14:paraId="6D2D8E82">
      <w:pPr>
        <w:pStyle w:val="24"/>
        <w:snapToGrid w:val="0"/>
        <w:spacing w:line="360" w:lineRule="auto"/>
        <w:ind w:firstLine="0" w:firstLineChars="0"/>
        <w:rPr>
          <w:rFonts w:hint="eastAsia" w:ascii="仿宋" w:hAnsi="仿宋" w:eastAsia="仿宋" w:cs="仿宋"/>
          <w:color w:val="auto"/>
          <w:highlight w:val="none"/>
        </w:rPr>
      </w:pPr>
    </w:p>
    <w:p w14:paraId="5608A928">
      <w:pPr>
        <w:pStyle w:val="24"/>
        <w:snapToGrid w:val="0"/>
        <w:spacing w:line="360" w:lineRule="auto"/>
        <w:ind w:firstLine="0" w:firstLineChars="0"/>
        <w:rPr>
          <w:rFonts w:hint="eastAsia" w:ascii="仿宋" w:hAnsi="仿宋" w:eastAsia="仿宋" w:cs="仿宋"/>
          <w:color w:val="auto"/>
          <w:highlight w:val="none"/>
        </w:rPr>
      </w:pPr>
    </w:p>
    <w:p w14:paraId="20B4811A">
      <w:pPr>
        <w:pStyle w:val="24"/>
        <w:snapToGrid w:val="0"/>
        <w:spacing w:line="360" w:lineRule="auto"/>
        <w:ind w:firstLine="0" w:firstLineChars="0"/>
        <w:rPr>
          <w:rFonts w:hint="eastAsia" w:ascii="仿宋" w:hAnsi="仿宋" w:eastAsia="仿宋" w:cs="仿宋"/>
          <w:color w:val="auto"/>
          <w:highlight w:val="none"/>
        </w:rPr>
      </w:pPr>
    </w:p>
    <w:p w14:paraId="65A88FCA">
      <w:pPr>
        <w:pStyle w:val="24"/>
        <w:snapToGrid w:val="0"/>
        <w:spacing w:line="360" w:lineRule="auto"/>
        <w:ind w:firstLine="0" w:firstLineChars="0"/>
        <w:rPr>
          <w:rFonts w:hint="eastAsia" w:ascii="仿宋" w:hAnsi="仿宋" w:eastAsia="仿宋" w:cs="仿宋"/>
          <w:color w:val="auto"/>
          <w:highlight w:val="none"/>
        </w:rPr>
      </w:pPr>
    </w:p>
    <w:p w14:paraId="1120B026">
      <w:pPr>
        <w:pStyle w:val="24"/>
        <w:snapToGrid w:val="0"/>
        <w:spacing w:line="360" w:lineRule="auto"/>
        <w:ind w:firstLine="0" w:firstLineChars="0"/>
        <w:rPr>
          <w:rFonts w:hint="eastAsia" w:ascii="仿宋" w:hAnsi="仿宋" w:eastAsia="仿宋" w:cs="仿宋"/>
          <w:color w:val="auto"/>
          <w:highlight w:val="none"/>
        </w:rPr>
      </w:pPr>
    </w:p>
    <w:p w14:paraId="05847512">
      <w:pPr>
        <w:pStyle w:val="24"/>
        <w:snapToGrid w:val="0"/>
        <w:spacing w:line="360" w:lineRule="auto"/>
        <w:ind w:firstLine="0" w:firstLineChars="0"/>
        <w:rPr>
          <w:rFonts w:hint="eastAsia" w:ascii="仿宋" w:hAnsi="仿宋" w:eastAsia="仿宋" w:cs="仿宋"/>
          <w:color w:val="auto"/>
          <w:highlight w:val="none"/>
        </w:rPr>
      </w:pPr>
    </w:p>
    <w:p w14:paraId="20101300">
      <w:pPr>
        <w:pStyle w:val="24"/>
        <w:snapToGrid w:val="0"/>
        <w:spacing w:line="360" w:lineRule="auto"/>
        <w:ind w:firstLine="0" w:firstLineChars="0"/>
        <w:rPr>
          <w:rFonts w:hint="eastAsia" w:ascii="仿宋" w:hAnsi="仿宋" w:eastAsia="仿宋" w:cs="仿宋"/>
          <w:color w:val="auto"/>
          <w:highlight w:val="none"/>
        </w:rPr>
      </w:pPr>
    </w:p>
    <w:p w14:paraId="427D6200">
      <w:pPr>
        <w:pStyle w:val="24"/>
        <w:snapToGrid w:val="0"/>
        <w:spacing w:line="360" w:lineRule="auto"/>
        <w:ind w:firstLine="0" w:firstLineChars="0"/>
        <w:rPr>
          <w:rFonts w:hint="eastAsia" w:ascii="仿宋" w:hAnsi="仿宋" w:eastAsia="仿宋" w:cs="仿宋"/>
          <w:color w:val="auto"/>
          <w:highlight w:val="none"/>
        </w:rPr>
      </w:pPr>
    </w:p>
    <w:p w14:paraId="763D844A">
      <w:pPr>
        <w:pStyle w:val="24"/>
        <w:snapToGrid w:val="0"/>
        <w:spacing w:line="360" w:lineRule="auto"/>
        <w:ind w:firstLine="0" w:firstLineChars="0"/>
        <w:rPr>
          <w:rFonts w:hint="eastAsia" w:ascii="仿宋" w:hAnsi="仿宋" w:eastAsia="仿宋" w:cs="仿宋"/>
          <w:color w:val="auto"/>
          <w:highlight w:val="none"/>
        </w:rPr>
      </w:pPr>
    </w:p>
    <w:p w14:paraId="5E1F1240">
      <w:pPr>
        <w:pStyle w:val="24"/>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4"/>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39"/>
      <w:framePr w:wrap="around" w:vAnchor="text" w:hAnchor="margin" w:xAlign="right" w:y="1"/>
      <w:rPr>
        <w:rStyle w:val="72"/>
      </w:rPr>
    </w:pPr>
    <w:r>
      <w:fldChar w:fldCharType="begin"/>
    </w:r>
    <w:r>
      <w:rPr>
        <w:rStyle w:val="72"/>
      </w:rPr>
      <w:instrText xml:space="preserve">PAGE  </w:instrText>
    </w:r>
    <w:r>
      <w:fldChar w:fldCharType="end"/>
    </w:r>
  </w:p>
  <w:p w14:paraId="4C5AD2EC">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39"/>
      <w:framePr w:wrap="around" w:vAnchor="text" w:hAnchor="margin" w:xAlign="right" w:y="1"/>
      <w:rPr>
        <w:rStyle w:val="72"/>
      </w:rPr>
    </w:pPr>
    <w:r>
      <w:fldChar w:fldCharType="begin"/>
    </w:r>
    <w:r>
      <w:rPr>
        <w:rStyle w:val="72"/>
      </w:rPr>
      <w:instrText xml:space="preserve">PAGE  </w:instrText>
    </w:r>
    <w:r>
      <w:fldChar w:fldCharType="end"/>
    </w:r>
  </w:p>
  <w:p w14:paraId="1C38454B">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164085800"/>
    <w:bookmarkStart w:id="165" w:name="_Toc91899912"/>
    <w:bookmarkStart w:id="166" w:name="_Toc3611018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0"/>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0"/>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7BF568D"/>
    <w:rsid w:val="0C586E15"/>
    <w:rsid w:val="0EC75C6E"/>
    <w:rsid w:val="0F096B8F"/>
    <w:rsid w:val="0F63063F"/>
    <w:rsid w:val="13AC657F"/>
    <w:rsid w:val="158F6E5B"/>
    <w:rsid w:val="17E6386F"/>
    <w:rsid w:val="18E60774"/>
    <w:rsid w:val="19EF674B"/>
    <w:rsid w:val="1AAD475A"/>
    <w:rsid w:val="1D2F1C3B"/>
    <w:rsid w:val="1F33287E"/>
    <w:rsid w:val="2335523F"/>
    <w:rsid w:val="26D112CD"/>
    <w:rsid w:val="29BC44BA"/>
    <w:rsid w:val="2CE61358"/>
    <w:rsid w:val="2EDB5A4F"/>
    <w:rsid w:val="30CD01D9"/>
    <w:rsid w:val="38872063"/>
    <w:rsid w:val="38E339B7"/>
    <w:rsid w:val="3F5E1222"/>
    <w:rsid w:val="40037E78"/>
    <w:rsid w:val="40B4693C"/>
    <w:rsid w:val="41B17D2F"/>
    <w:rsid w:val="427E60E8"/>
    <w:rsid w:val="453F5652"/>
    <w:rsid w:val="490735E2"/>
    <w:rsid w:val="4A1C2405"/>
    <w:rsid w:val="4ACF7AD1"/>
    <w:rsid w:val="4CB0248B"/>
    <w:rsid w:val="4F4B3D85"/>
    <w:rsid w:val="4F9C3DCC"/>
    <w:rsid w:val="505F7017"/>
    <w:rsid w:val="5A9B1124"/>
    <w:rsid w:val="5C322266"/>
    <w:rsid w:val="5F561B6F"/>
    <w:rsid w:val="5F57E5CA"/>
    <w:rsid w:val="616E0F71"/>
    <w:rsid w:val="61EC7CE4"/>
    <w:rsid w:val="620B296D"/>
    <w:rsid w:val="65AA6490"/>
    <w:rsid w:val="669C35D3"/>
    <w:rsid w:val="6BD4147B"/>
    <w:rsid w:val="6F300D9A"/>
    <w:rsid w:val="6FC37AD4"/>
    <w:rsid w:val="70910BA8"/>
    <w:rsid w:val="70CC50B4"/>
    <w:rsid w:val="71551AC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19284</Words>
  <Characters>20593</Characters>
  <Paragraphs>1943</Paragraphs>
  <TotalTime>6</TotalTime>
  <ScaleCrop>false</ScaleCrop>
  <LinksUpToDate>false</LinksUpToDate>
  <CharactersWithSpaces>22215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2025-07-28T12:17:58Z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