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hint="eastAsia" w:ascii="仿宋" w:hAnsi="仿宋" w:eastAsia="仿宋" w:cs="仿宋"/>
          <w:b/>
          <w:color w:val="000000" w:themeColor="text1"/>
          <w:sz w:val="72"/>
          <w:szCs w:val="72"/>
          <w:highlight w:val="none"/>
          <w14:textFill>
            <w14:solidFill>
              <w14:schemeClr w14:val="tx1"/>
            </w14:solidFill>
          </w14:textFill>
        </w:rPr>
      </w:pPr>
      <w:bookmarkStart w:id="0" w:name="_Hlt67893495"/>
      <w:bookmarkEnd w:id="0"/>
      <w:bookmarkStart w:id="1" w:name="OLE_LINK2"/>
      <w:r>
        <w:rPr>
          <w:rFonts w:hint="eastAsia" w:ascii="隶书" w:hAnsi="Arial" w:eastAsia="隶书" w:cs="Arial"/>
          <w:b/>
          <w:color w:val="000000" w:themeColor="text1"/>
          <w:sz w:val="44"/>
          <w:szCs w:val="44"/>
          <w:highlight w:val="none"/>
          <w:lang w:eastAsia="zh-CN"/>
          <w14:textFill>
            <w14:solidFill>
              <w14:schemeClr w14:val="tx1"/>
            </w14:solidFill>
          </w14:textFill>
        </w:rPr>
        <w:t>绍兴市中医院银质针导热巡检仪、多功能麻精药品智能复合柜采购项目</w:t>
      </w:r>
      <w:bookmarkEnd w:id="1"/>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bookmarkStart w:id="200" w:name="_GoBack"/>
      <w:bookmarkEnd w:id="200"/>
      <w:r>
        <w:rPr>
          <w:rFonts w:hint="eastAsia" w:ascii="仿宋" w:hAnsi="仿宋" w:eastAsia="仿宋" w:cs="仿宋"/>
          <w:b/>
          <w:color w:val="000000" w:themeColor="text1"/>
          <w:sz w:val="72"/>
          <w:szCs w:val="72"/>
          <w:highlight w:val="none"/>
          <w14:textFill>
            <w14:solidFill>
              <w14:schemeClr w14:val="tx1"/>
            </w14:solidFill>
          </w14:textFill>
        </w:rPr>
        <w:t>公</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pPr>
        <w:spacing w:line="312" w:lineRule="auto"/>
        <w:jc w:val="center"/>
        <w:rPr>
          <w:rFonts w:hint="eastAsia" w:ascii="隶书" w:eastAsia="隶书"/>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r>
        <w:rPr>
          <w:rFonts w:hint="eastAsia" w:ascii="隶书" w:eastAsia="隶书"/>
          <w:b/>
          <w:color w:val="000000" w:themeColor="text1"/>
          <w:sz w:val="28"/>
          <w:szCs w:val="28"/>
          <w:highlight w:val="none"/>
          <w14:textFill>
            <w14:solidFill>
              <w14:schemeClr w14:val="tx1"/>
            </w14:solidFill>
          </w14:textFill>
        </w:rPr>
        <w:t>招标编号：</w:t>
      </w:r>
      <w:r>
        <w:rPr>
          <w:rFonts w:hint="eastAsia" w:ascii="隶书" w:eastAsia="隶书"/>
          <w:b/>
          <w:color w:val="000000" w:themeColor="text1"/>
          <w:sz w:val="28"/>
          <w:szCs w:val="28"/>
          <w:highlight w:val="none"/>
          <w:lang w:eastAsia="zh-CN"/>
          <w14:textFill>
            <w14:solidFill>
              <w14:schemeClr w14:val="tx1"/>
            </w14:solidFill>
          </w14:textFill>
        </w:rPr>
        <w:t>ZJXSC-2024-339</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pacing w:val="93"/>
                <w:kern w:val="0"/>
                <w:sz w:val="28"/>
                <w:szCs w:val="28"/>
                <w:highlight w:val="none"/>
                <w14:textFill>
                  <w14:solidFill>
                    <w14:schemeClr w14:val="tx1"/>
                  </w14:solidFill>
                </w14:textFill>
              </w:rPr>
              <w:t>采购单</w:t>
            </w:r>
            <w:r>
              <w:rPr>
                <w:rFonts w:hint="eastAsia" w:ascii="隶书" w:hAnsi="宋体" w:eastAsia="隶书"/>
                <w:color w:val="000000" w:themeColor="text1"/>
                <w:spacing w:val="1"/>
                <w:kern w:val="0"/>
                <w:sz w:val="28"/>
                <w:szCs w:val="28"/>
                <w:highlight w:val="none"/>
                <w14:textFill>
                  <w14:solidFill>
                    <w14:schemeClr w14:val="tx1"/>
                  </w14:solidFill>
                </w14:textFill>
              </w:rPr>
              <w:t>位</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center"/>
          </w:tcPr>
          <w:p>
            <w:pPr>
              <w:spacing w:after="100" w:afterAutospacing="1"/>
              <w:rPr>
                <w:rFonts w:hint="eastAsia" w:ascii="隶书" w:hAnsi="宋体" w:eastAsia="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绍兴市中医院</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kern w:val="0"/>
                <w:sz w:val="28"/>
                <w:szCs w:val="28"/>
                <w:highlight w:val="none"/>
                <w14:textFill>
                  <w14:solidFill>
                    <w14:schemeClr w14:val="tx1"/>
                  </w14:solidFill>
                </w14:textFill>
              </w:rPr>
              <w:t>采购代理机构</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top"/>
          </w:tcPr>
          <w:p>
            <w:pPr>
              <w:spacing w:after="100" w:afterAutospacing="1"/>
              <w:rPr>
                <w:rFonts w:hint="eastAsia" w:ascii="隶书" w:hAnsi="宋体" w:eastAsia="隶书"/>
                <w:color w:val="000000" w:themeColor="text1"/>
                <w:sz w:val="28"/>
                <w:szCs w:val="28"/>
                <w:highlight w:val="none"/>
                <w:lang w:eastAsia="zh-CN"/>
                <w14:textFill>
                  <w14:solidFill>
                    <w14:schemeClr w14:val="tx1"/>
                  </w14:solidFill>
                </w14:textFill>
              </w:rPr>
            </w:pPr>
            <w:r>
              <w:rPr>
                <w:rFonts w:hint="eastAsia" w:ascii="隶书" w:hAnsi="宋体" w:eastAsia="隶书"/>
                <w:color w:val="000000" w:themeColor="text1"/>
                <w:sz w:val="28"/>
                <w:szCs w:val="28"/>
                <w:highlight w:val="none"/>
                <w:lang w:eastAsia="zh-CN"/>
                <w14:textFill>
                  <w14:solidFill>
                    <w14:schemeClr w14:val="tx1"/>
                  </w14:solidFill>
                </w14:textFill>
              </w:rPr>
              <w:t>浙江翔实建设项目管理有限公司</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pacing w:val="93"/>
                <w:kern w:val="0"/>
                <w:sz w:val="28"/>
                <w:szCs w:val="28"/>
                <w:highlight w:val="none"/>
                <w14:textFill>
                  <w14:solidFill>
                    <w14:schemeClr w14:val="tx1"/>
                  </w14:solidFill>
                </w14:textFill>
              </w:rPr>
              <w:t>监督单</w:t>
            </w:r>
            <w:r>
              <w:rPr>
                <w:rFonts w:hint="eastAsia" w:ascii="隶书" w:hAnsi="宋体" w:eastAsia="隶书"/>
                <w:color w:val="000000" w:themeColor="text1"/>
                <w:spacing w:val="1"/>
                <w:kern w:val="0"/>
                <w:sz w:val="28"/>
                <w:szCs w:val="28"/>
                <w:highlight w:val="none"/>
                <w14:textFill>
                  <w14:solidFill>
                    <w14:schemeClr w14:val="tx1"/>
                  </w14:solidFill>
                </w14:textFill>
              </w:rPr>
              <w:t>位</w:t>
            </w:r>
            <w:r>
              <w:rPr>
                <w:rFonts w:hint="eastAsia" w:ascii="隶书" w:hAnsi="宋体" w:eastAsia="隶书"/>
                <w:color w:val="000000" w:themeColor="text1"/>
                <w:sz w:val="28"/>
                <w:szCs w:val="28"/>
                <w:highlight w:val="none"/>
                <w14:textFill>
                  <w14:solidFill>
                    <w14:schemeClr w14:val="tx1"/>
                  </w14:solidFill>
                </w14:textFill>
              </w:rPr>
              <w:t>：</w:t>
            </w:r>
          </w:p>
        </w:tc>
        <w:tc>
          <w:tcPr>
            <w:tcW w:w="5444" w:type="dxa"/>
            <w:noWrap w:val="0"/>
            <w:vAlign w:val="top"/>
          </w:tcPr>
          <w:p>
            <w:pPr>
              <w:spacing w:after="100" w:afterAutospacing="1"/>
              <w:rPr>
                <w:rFonts w:ascii="隶书" w:hAnsi="宋体" w:eastAsia="隶书"/>
                <w:color w:val="000000" w:themeColor="text1"/>
                <w:sz w:val="28"/>
                <w:szCs w:val="28"/>
                <w:highlight w:val="none"/>
                <w14:textFill>
                  <w14:solidFill>
                    <w14:schemeClr w14:val="tx1"/>
                  </w14:solidFill>
                </w14:textFill>
              </w:rPr>
            </w:pPr>
            <w:r>
              <w:rPr>
                <w:rFonts w:hint="eastAsia" w:ascii="隶书" w:hAnsi="宋体" w:eastAsia="隶书"/>
                <w:color w:val="000000" w:themeColor="text1"/>
                <w:sz w:val="28"/>
                <w:szCs w:val="28"/>
                <w:highlight w:val="none"/>
                <w14:textFill>
                  <w14:solidFill>
                    <w14:schemeClr w14:val="tx1"/>
                  </w14:solidFill>
                </w14:textFill>
              </w:rPr>
              <w:t>绍兴市财政局</w:t>
            </w:r>
          </w:p>
        </w:tc>
      </w:tr>
      <w:tr>
        <w:tblPrEx>
          <w:tblCellMar>
            <w:top w:w="0" w:type="dxa"/>
            <w:left w:w="108" w:type="dxa"/>
            <w:bottom w:w="0" w:type="dxa"/>
            <w:right w:w="108" w:type="dxa"/>
          </w:tblCellMar>
        </w:tblPrEx>
        <w:trPr>
          <w:trHeight w:val="399" w:hRule="atLeast"/>
        </w:trPr>
        <w:tc>
          <w:tcPr>
            <w:tcW w:w="7800" w:type="dxa"/>
            <w:gridSpan w:val="2"/>
            <w:noWrap w:val="0"/>
            <w:vAlign w:val="top"/>
          </w:tcPr>
          <w:p>
            <w:pPr>
              <w:spacing w:after="100" w:afterAutospacing="1"/>
              <w:jc w:val="center"/>
              <w:rPr>
                <w:rFonts w:ascii="隶书" w:hAnsi="宋体" w:eastAsia="隶书"/>
                <w:color w:val="000000" w:themeColor="text1"/>
                <w:sz w:val="28"/>
                <w:szCs w:val="28"/>
                <w:highlight w:val="none"/>
                <w14:textFill>
                  <w14:solidFill>
                    <w14:schemeClr w14:val="tx1"/>
                  </w14:solidFill>
                </w14:textFill>
              </w:rPr>
            </w:pPr>
            <w:r>
              <w:rPr>
                <w:rFonts w:hint="eastAsia" w:ascii="隶书" w:eastAsia="隶书"/>
                <w:b/>
                <w:color w:val="000000" w:themeColor="text1"/>
                <w:sz w:val="28"/>
                <w:szCs w:val="28"/>
                <w:highlight w:val="none"/>
                <w14:textFill>
                  <w14:solidFill>
                    <w14:schemeClr w14:val="tx1"/>
                  </w14:solidFill>
                </w14:textFill>
              </w:rPr>
              <w:t>二</w:t>
            </w:r>
            <w:r>
              <w:rPr>
                <w:rFonts w:ascii="隶书" w:eastAsia="隶书"/>
                <w:b/>
                <w:color w:val="000000" w:themeColor="text1"/>
                <w:sz w:val="28"/>
                <w:szCs w:val="28"/>
                <w:highlight w:val="none"/>
                <w14:textFill>
                  <w14:solidFill>
                    <w14:schemeClr w14:val="tx1"/>
                  </w14:solidFill>
                </w14:textFill>
              </w:rPr>
              <w:t>0</w:t>
            </w:r>
            <w:r>
              <w:rPr>
                <w:rFonts w:hint="eastAsia" w:ascii="隶书" w:eastAsia="隶书"/>
                <w:b/>
                <w:color w:val="000000" w:themeColor="text1"/>
                <w:sz w:val="28"/>
                <w:szCs w:val="28"/>
                <w:highlight w:val="none"/>
                <w14:textFill>
                  <w14:solidFill>
                    <w14:schemeClr w14:val="tx1"/>
                  </w14:solidFill>
                </w14:textFill>
              </w:rPr>
              <w:t>二</w:t>
            </w:r>
            <w:r>
              <w:rPr>
                <w:rFonts w:hint="eastAsia" w:ascii="隶书" w:eastAsia="隶书"/>
                <w:b/>
                <w:color w:val="000000" w:themeColor="text1"/>
                <w:sz w:val="28"/>
                <w:szCs w:val="28"/>
                <w:highlight w:val="none"/>
                <w:lang w:eastAsia="zh-CN"/>
                <w14:textFill>
                  <w14:solidFill>
                    <w14:schemeClr w14:val="tx1"/>
                  </w14:solidFill>
                </w14:textFill>
              </w:rPr>
              <w:t>四</w:t>
            </w:r>
            <w:r>
              <w:rPr>
                <w:rFonts w:hint="eastAsia" w:ascii="隶书" w:eastAsia="隶书"/>
                <w:b/>
                <w:color w:val="000000" w:themeColor="text1"/>
                <w:sz w:val="28"/>
                <w:szCs w:val="28"/>
                <w:highlight w:val="none"/>
                <w14:textFill>
                  <w14:solidFill>
                    <w14:schemeClr w14:val="tx1"/>
                  </w14:solidFill>
                </w14:textFill>
              </w:rPr>
              <w:t>年</w:t>
            </w:r>
            <w:r>
              <w:rPr>
                <w:rFonts w:hint="eastAsia" w:ascii="隶书" w:eastAsia="隶书"/>
                <w:b/>
                <w:color w:val="000000" w:themeColor="text1"/>
                <w:sz w:val="28"/>
                <w:szCs w:val="28"/>
                <w:highlight w:val="none"/>
                <w:lang w:eastAsia="zh-CN"/>
                <w14:textFill>
                  <w14:solidFill>
                    <w14:schemeClr w14:val="tx1"/>
                  </w14:solidFill>
                </w14:textFill>
              </w:rPr>
              <w:t>十一</w:t>
            </w:r>
            <w:r>
              <w:rPr>
                <w:rFonts w:hint="eastAsia" w:ascii="隶书" w:eastAsia="隶书"/>
                <w:b/>
                <w:color w:val="000000" w:themeColor="text1"/>
                <w:sz w:val="28"/>
                <w:szCs w:val="28"/>
                <w:highlight w:val="none"/>
                <w14:textFill>
                  <w14:solidFill>
                    <w14:schemeClr w14:val="tx1"/>
                  </w14:solidFill>
                </w14:textFill>
              </w:rPr>
              <w:t>月</w:t>
            </w:r>
          </w:p>
        </w:tc>
      </w:tr>
    </w:tbl>
    <w:p>
      <w:pPr>
        <w:pStyle w:val="320"/>
        <w:rPr>
          <w:color w:val="000000" w:themeColor="text1"/>
          <w:highlight w:val="none"/>
          <w14:textFill>
            <w14:solidFill>
              <w14:schemeClr w14:val="tx1"/>
            </w14:solidFill>
          </w14:textFill>
        </w:rPr>
      </w:pPr>
    </w:p>
    <w:p>
      <w:pPr>
        <w:pStyle w:val="320"/>
        <w:rPr>
          <w:color w:val="000000" w:themeColor="text1"/>
          <w:highlight w:val="none"/>
          <w14:textFill>
            <w14:solidFill>
              <w14:schemeClr w14:val="tx1"/>
            </w14:solidFill>
          </w14:textFill>
        </w:rPr>
      </w:pPr>
    </w:p>
    <w:p>
      <w:pPr>
        <w:pStyle w:val="320"/>
        <w:rPr>
          <w:color w:val="000000" w:themeColor="text1"/>
          <w:highlight w:val="none"/>
          <w14:textFill>
            <w14:solidFill>
              <w14:schemeClr w14:val="tx1"/>
            </w14:solidFill>
          </w14:textFill>
        </w:rPr>
      </w:pPr>
    </w:p>
    <w:p>
      <w:pPr>
        <w:pStyle w:val="320"/>
        <w:rPr>
          <w:rFonts w:hint="eastAsia"/>
          <w:color w:val="000000" w:themeColor="text1"/>
          <w:highlight w:val="none"/>
          <w14:textFill>
            <w14:solidFill>
              <w14:schemeClr w14:val="tx1"/>
            </w14:solidFill>
          </w14:textFill>
        </w:rPr>
      </w:pPr>
    </w:p>
    <w:p>
      <w:pPr>
        <w:pStyle w:val="637"/>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2" w:name="_Hlt91233176"/>
      <w:bookmarkEnd w:id="2"/>
      <w:bookmarkStart w:id="3"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bookmarkEnd w:id="3"/>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绍兴市中医院银质针导热巡检仪、多功能麻精药品智能复合柜采购项目</w:t>
      </w:r>
      <w:r>
        <w:rPr>
          <w:rFonts w:hint="eastAsia" w:ascii="仿宋" w:hAnsi="仿宋" w:eastAsia="仿宋" w:cs="仿宋"/>
          <w:color w:val="000000" w:themeColor="text1"/>
          <w:sz w:val="24"/>
          <w:highlight w:val="none"/>
          <w14:textFill>
            <w14:solidFill>
              <w14:schemeClr w14:val="tx1"/>
            </w14:solidFill>
          </w14:textFill>
        </w:rPr>
        <w:t>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w:t>
      </w:r>
      <w:bookmarkStart w:id="11" w:name="OLE_LINK3"/>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202</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4</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日</w:t>
      </w:r>
      <w:bookmarkEnd w:id="11"/>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00</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项目编号：</w:t>
      </w:r>
      <w:r>
        <w:rPr>
          <w:rFonts w:hint="eastAsia" w:ascii="仿宋" w:hAnsi="仿宋" w:eastAsia="仿宋" w:cs="仿宋"/>
          <w:b/>
          <w:color w:val="000000" w:themeColor="text1"/>
          <w:highlight w:val="none"/>
          <w:lang w:eastAsia="zh-CN"/>
          <w14:textFill>
            <w14:solidFill>
              <w14:schemeClr w14:val="tx1"/>
            </w14:solidFill>
          </w14:textFill>
        </w:rPr>
        <w:t>ZJXSC-2024-339</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项目名称：</w:t>
      </w:r>
      <w:r>
        <w:rPr>
          <w:rFonts w:hint="eastAsia" w:ascii="仿宋" w:hAnsi="仿宋" w:eastAsia="仿宋" w:cs="仿宋"/>
          <w:b/>
          <w:color w:val="000000" w:themeColor="text1"/>
          <w:highlight w:val="none"/>
          <w:lang w:eastAsia="zh-CN"/>
          <w14:textFill>
            <w14:solidFill>
              <w14:schemeClr w14:val="tx1"/>
            </w14:solidFill>
          </w14:textFill>
        </w:rPr>
        <w:t>绍兴市中医院银质针导热巡检仪、多功能麻精药品智能复合柜采购项目</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采购方式：公开招标</w:t>
      </w:r>
    </w:p>
    <w:p>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 xml:space="preserve">530000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最高限价（元）：</w:t>
      </w:r>
      <w:r>
        <w:rPr>
          <w:rFonts w:hint="eastAsia" w:ascii="仿宋" w:hAnsi="仿宋" w:eastAsia="仿宋" w:cs="仿宋"/>
          <w:b/>
          <w:color w:val="000000" w:themeColor="text1"/>
          <w:highlight w:val="none"/>
          <w:lang w:val="en-US" w:eastAsia="zh-CN"/>
          <w14:textFill>
            <w14:solidFill>
              <w14:schemeClr w14:val="tx1"/>
            </w14:solidFill>
          </w14:textFill>
        </w:rPr>
        <w:t>280000，250000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采购需求：详见采购文件</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标项一:</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标项名称</w:t>
      </w:r>
      <w:r>
        <w:rPr>
          <w:rFonts w:hint="eastAsia" w:ascii="仿宋" w:hAnsi="仿宋" w:eastAsia="仿宋" w:cs="仿宋"/>
          <w:b/>
          <w:color w:val="000000" w:themeColor="text1"/>
          <w:highlight w:val="none"/>
          <w:lang w:val="en-US" w:eastAsia="zh-CN"/>
          <w14:textFill>
            <w14:solidFill>
              <w14:schemeClr w14:val="tx1"/>
            </w14:solidFill>
          </w14:textFill>
        </w:rPr>
        <w:t>:</w:t>
      </w:r>
      <w:r>
        <w:rPr>
          <w:rFonts w:hint="eastAsia" w:ascii="仿宋" w:hAnsi="仿宋" w:eastAsia="仿宋" w:cs="仿宋"/>
          <w:b/>
          <w:color w:val="000000" w:themeColor="text1"/>
          <w:highlight w:val="none"/>
          <w:lang w:eastAsia="zh-CN"/>
          <w14:textFill>
            <w14:solidFill>
              <w14:schemeClr w14:val="tx1"/>
            </w14:solidFill>
          </w14:textFill>
        </w:rPr>
        <w:t>银质针导热巡检仪</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数量:</w:t>
      </w:r>
      <w:r>
        <w:rPr>
          <w:rFonts w:hint="eastAsia" w:ascii="仿宋" w:hAnsi="仿宋" w:eastAsia="仿宋" w:cs="仿宋"/>
          <w:b/>
          <w:color w:val="000000" w:themeColor="text1"/>
          <w:highlight w:val="none"/>
          <w:lang w:val="en-US" w:eastAsia="zh-CN"/>
          <w14:textFill>
            <w14:solidFill>
              <w14:schemeClr w14:val="tx1"/>
            </w14:solidFill>
          </w14:textFill>
        </w:rPr>
        <w:t>1台</w:t>
      </w:r>
    </w:p>
    <w:p>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280000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简要规格描述或项目基本概况介绍、用途：详见采购文件。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备注：无。</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w:t>
      </w:r>
      <w:r>
        <w:rPr>
          <w:rFonts w:hint="eastAsia" w:ascii="仿宋" w:hAnsi="仿宋" w:eastAsia="仿宋" w:cs="仿宋"/>
          <w:b/>
          <w:color w:val="000000" w:themeColor="text1"/>
          <w:highlight w:val="none"/>
          <w:lang w:eastAsia="zh-CN"/>
          <w14:textFill>
            <w14:solidFill>
              <w14:schemeClr w14:val="tx1"/>
            </w14:solidFill>
          </w14:textFill>
        </w:rPr>
        <w:t>二</w:t>
      </w:r>
      <w:r>
        <w:rPr>
          <w:rFonts w:hint="eastAsia" w:ascii="仿宋" w:hAnsi="仿宋" w:eastAsia="仿宋" w:cs="仿宋"/>
          <w:b/>
          <w:color w:val="000000" w:themeColor="text1"/>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标项名称</w:t>
      </w:r>
      <w:r>
        <w:rPr>
          <w:rFonts w:hint="eastAsia" w:ascii="仿宋" w:hAnsi="仿宋" w:eastAsia="仿宋" w:cs="仿宋"/>
          <w:b/>
          <w:color w:val="000000" w:themeColor="text1"/>
          <w:highlight w:val="none"/>
          <w:lang w:val="en-US" w:eastAsia="zh-CN"/>
          <w14:textFill>
            <w14:solidFill>
              <w14:schemeClr w14:val="tx1"/>
            </w14:solidFill>
          </w14:textFill>
        </w:rPr>
        <w:t>:</w:t>
      </w:r>
      <w:r>
        <w:rPr>
          <w:rFonts w:hint="eastAsia" w:ascii="仿宋" w:hAnsi="仿宋" w:eastAsia="仿宋" w:cs="仿宋"/>
          <w:b/>
          <w:color w:val="000000" w:themeColor="text1"/>
          <w:highlight w:val="none"/>
          <w:lang w:eastAsia="zh-CN"/>
          <w14:textFill>
            <w14:solidFill>
              <w14:schemeClr w14:val="tx1"/>
            </w14:solidFill>
          </w14:textFill>
        </w:rPr>
        <w:t>多功能麻精药品智能复合柜</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数量:</w:t>
      </w:r>
      <w:r>
        <w:rPr>
          <w:rFonts w:hint="eastAsia" w:ascii="仿宋" w:hAnsi="仿宋" w:eastAsia="仿宋" w:cs="仿宋"/>
          <w:b/>
          <w:color w:val="000000" w:themeColor="text1"/>
          <w:highlight w:val="none"/>
          <w:lang w:val="en-US" w:eastAsia="zh-CN"/>
          <w14:textFill>
            <w14:solidFill>
              <w14:schemeClr w14:val="tx1"/>
            </w14:solidFill>
          </w14:textFill>
        </w:rPr>
        <w:t>1台</w:t>
      </w:r>
    </w:p>
    <w:p>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000000" w:themeColor="text1"/>
          <w:highlight w:val="none"/>
          <w:lang w:val="en-US"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预算金额（元）：</w:t>
      </w:r>
      <w:r>
        <w:rPr>
          <w:rFonts w:hint="eastAsia" w:ascii="仿宋" w:hAnsi="仿宋" w:eastAsia="仿宋" w:cs="仿宋"/>
          <w:b/>
          <w:color w:val="000000" w:themeColor="text1"/>
          <w:highlight w:val="none"/>
          <w:lang w:val="en-US" w:eastAsia="zh-CN"/>
          <w14:textFill>
            <w14:solidFill>
              <w14:schemeClr w14:val="tx1"/>
            </w14:solidFill>
          </w14:textFill>
        </w:rPr>
        <w:t>250000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简要规格描述或项目基本概况介绍、用途：详见采购文件。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备注：无。</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合同履约期限：按双方合同约定条款执行。</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本项目（是）接受联合体投标。</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2" w:name="OLE_LINK5"/>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p>
    <w:bookmarkEnd w:id="12"/>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3"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3"/>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kern w:val="0"/>
          <w:sz w:val="24"/>
          <w:highlight w:val="none"/>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kern w:val="0"/>
          <w:sz w:val="24"/>
          <w:highlight w:val="none"/>
          <w14:textFill>
            <w14:solidFill>
              <w14:schemeClr w14:val="tx1"/>
            </w14:solidFill>
          </w14:textFill>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 xml:space="preserve"> </w:t>
      </w:r>
      <w:bookmarkStart w:id="14" w:name="OLE_LINK4"/>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日</w:t>
      </w:r>
      <w:bookmarkEnd w:id="14"/>
      <w:r>
        <w:rPr>
          <w:rFonts w:hint="eastAsia" w:ascii="仿宋" w:hAnsi="仿宋" w:eastAsia="仿宋" w:cs="仿宋"/>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u w:val="singl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000000" w:themeColor="text1"/>
          <w:sz w:val="24"/>
          <w:highlight w:val="none"/>
          <w:lang w:val="en"/>
          <w14:textFill>
            <w14:solidFill>
              <w14:schemeClr w14:val="tx1"/>
            </w14:solidFill>
          </w14:textFill>
        </w:rPr>
        <w:t>(</w:t>
      </w:r>
      <w:r>
        <w:rPr>
          <w:rFonts w:hint="eastAsia" w:ascii="仿宋" w:hAnsi="仿宋" w:eastAsia="仿宋" w:cs="仿宋"/>
          <w:color w:val="000000" w:themeColor="text1"/>
          <w:sz w:val="24"/>
          <w:highlight w:val="none"/>
          <w:lang w:val="en" w:eastAsia="zh-CN"/>
          <w14:textFill>
            <w14:solidFill>
              <w14:schemeClr w14:val="tx1"/>
            </w14:solidFill>
          </w14:textFill>
        </w:rPr>
        <w:t>政策落实根据财政部门要求更新）</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5" w:name="_Toc35393637"/>
      <w:bookmarkStart w:id="16" w:name="_Toc28359019"/>
      <w:bookmarkStart w:id="17" w:name="_Toc28359096"/>
      <w:bookmarkStart w:id="18" w:name="_Toc35393806"/>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5"/>
      <w:bookmarkEnd w:id="16"/>
      <w:bookmarkEnd w:id="17"/>
      <w:bookmarkEnd w:id="18"/>
      <w:r>
        <w:rPr>
          <w:rFonts w:hint="eastAsia" w:ascii="仿宋" w:hAnsi="仿宋" w:eastAsia="仿宋" w:cs="仿宋"/>
          <w:color w:val="000000" w:themeColor="text1"/>
          <w:sz w:val="24"/>
          <w:szCs w:val="24"/>
          <w:highlight w:val="none"/>
          <w14:textFill>
            <w14:solidFill>
              <w14:schemeClr w14:val="tx1"/>
            </w14:solidFill>
          </w14:textFill>
        </w:rPr>
        <w:t>：</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名称：绍兴市中医院</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地址：绍兴市越城区人民中路641号</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w:t>
      </w:r>
    </w:p>
    <w:p>
      <w:pPr>
        <w:widowControl/>
        <w:spacing w:line="460" w:lineRule="exact"/>
        <w:ind w:firstLine="480" w:firstLineChars="200"/>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项目联系人（询问）：</w:t>
      </w:r>
      <w:r>
        <w:rPr>
          <w:rFonts w:hint="eastAsia" w:ascii="仿宋" w:hAnsi="仿宋" w:eastAsia="仿宋" w:cs="仿宋"/>
          <w:color w:val="000000" w:themeColor="text1"/>
          <w:kern w:val="0"/>
          <w:sz w:val="24"/>
          <w:highlight w:val="none"/>
          <w:lang w:eastAsia="zh-CN"/>
          <w14:textFill>
            <w14:solidFill>
              <w14:schemeClr w14:val="tx1"/>
            </w14:solidFill>
          </w14:textFill>
        </w:rPr>
        <w:t>张润哲</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项目联系方式（询问）：0575-89109951</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质疑联系人：沈勇</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质疑联系方式：0575-89107189</w:t>
      </w:r>
    </w:p>
    <w:p>
      <w:pPr>
        <w:pStyle w:val="397"/>
        <w:snapToGrid/>
        <w:spacing w:after="120" w:line="46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2.招标代理机构信息</w:t>
      </w:r>
    </w:p>
    <w:p>
      <w:pPr>
        <w:widowControl/>
        <w:spacing w:line="460" w:lineRule="exact"/>
        <w:ind w:firstLine="480" w:firstLineChars="200"/>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eastAsia="zh-CN"/>
          <w14:textFill>
            <w14:solidFill>
              <w14:schemeClr w14:val="tx1"/>
            </w14:solidFill>
          </w14:textFill>
        </w:rPr>
        <w:t>浙江翔实建设项目管理有限公司</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地址：绍兴市越城区阳明北路692号</w:t>
      </w:r>
    </w:p>
    <w:p>
      <w:pPr>
        <w:widowControl/>
        <w:spacing w:line="4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项目联系人（询问）：</w:t>
      </w:r>
      <w:r>
        <w:rPr>
          <w:rFonts w:hint="eastAsia" w:ascii="仿宋" w:hAnsi="仿宋" w:eastAsia="仿宋" w:cs="仿宋"/>
          <w:color w:val="000000" w:themeColor="text1"/>
          <w:szCs w:val="24"/>
          <w:highlight w:val="none"/>
          <w:lang w:eastAsia="zh-CN"/>
          <w14:textFill>
            <w14:solidFill>
              <w14:schemeClr w14:val="tx1"/>
            </w14:solidFill>
          </w14:textFill>
        </w:rPr>
        <w:t>朱大力、</w:t>
      </w:r>
      <w:r>
        <w:rPr>
          <w:rFonts w:hint="eastAsia" w:ascii="仿宋" w:hAnsi="仿宋" w:eastAsia="仿宋" w:cs="仿宋"/>
          <w:color w:val="000000" w:themeColor="text1"/>
          <w:szCs w:val="24"/>
          <w:highlight w:val="none"/>
          <w14:textFill>
            <w14:solidFill>
              <w14:schemeClr w14:val="tx1"/>
            </w14:solidFill>
          </w14:textFill>
        </w:rPr>
        <w:t>娄佳琴</w:t>
      </w:r>
    </w:p>
    <w:p>
      <w:pPr>
        <w:pStyle w:val="397"/>
        <w:snapToGrid/>
        <w:spacing w:after="120" w:line="460" w:lineRule="exact"/>
        <w:ind w:firstLine="480"/>
        <w:contextualSpacing/>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项目联系方式（询问）：13376873230</w:t>
      </w:r>
      <w:r>
        <w:rPr>
          <w:rFonts w:hint="eastAsia" w:ascii="仿宋" w:hAnsi="仿宋" w:eastAsia="仿宋" w:cs="仿宋"/>
          <w:color w:val="000000" w:themeColor="text1"/>
          <w:szCs w:val="24"/>
          <w:highlight w:val="none"/>
          <w:lang w:val="en-US" w:eastAsia="zh-CN"/>
          <w14:textFill>
            <w14:solidFill>
              <w14:schemeClr w14:val="tx1"/>
            </w14:solidFill>
          </w14:textFill>
        </w:rPr>
        <w:t>/0575-88979683</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质疑联系人：孙莉</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质疑联系方式：0575-88976639　　</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3.同级政府采购监督管理部门</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名称：绍兴市财政局</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地址：绍兴市越城区凤林西路151号</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传真：0575-85209697</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联系人：张婷婷</w:t>
      </w:r>
    </w:p>
    <w:p>
      <w:pPr>
        <w:pStyle w:val="397"/>
        <w:snapToGrid/>
        <w:spacing w:after="120" w:line="460" w:lineRule="exact"/>
        <w:ind w:firstLine="480"/>
        <w:contextualSpacing/>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监督投诉电话：0575-85209697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8"/>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pPr>
              <w:spacing w:beforeLines="0" w:afterLines="0" w:line="44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□B有方案讲解演示：</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详见招标文件</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标的：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bookmarkStart w:id="19" w:name="OLE_LINK1"/>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标项一</w:t>
            </w:r>
            <w:bookmarkEnd w:id="19"/>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，属于</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工业 </w:t>
            </w:r>
            <w:r>
              <w:rPr>
                <w:rFonts w:hint="eastAsia" w:ascii="仿宋" w:hAnsi="仿宋" w:eastAsia="仿宋" w:cs="仿宋"/>
                <w:color w:val="000000" w:themeColor="text1"/>
                <w:kern w:val="0"/>
                <w:sz w:val="24"/>
                <w:szCs w:val="24"/>
                <w:highlight w:val="none"/>
                <w14:textFill>
                  <w14:solidFill>
                    <w14:schemeClr w14:val="tx1"/>
                  </w14:solidFill>
                </w14:textFill>
              </w:rPr>
              <w:t>行业</w:t>
            </w:r>
            <w:r>
              <w:rPr>
                <w:rFonts w:hint="eastAsia" w:ascii="仿宋" w:hAnsi="仿宋" w:eastAsia="仿宋" w:cs="仿宋"/>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sym w:font="Wingdings" w:char="F0FE"/>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pPr>
              <w:spacing w:line="336"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中标人须向采购代理机构按如下标准和规定交纳代理服务费，并在投标报价中自行考虑：</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bookmarkStart w:id="20" w:name="OLE_LINK6"/>
            <w:r>
              <w:rPr>
                <w:rFonts w:hint="eastAsia" w:ascii="仿宋" w:hAnsi="仿宋" w:eastAsia="仿宋" w:cs="仿宋"/>
                <w:color w:val="000000" w:themeColor="text1"/>
                <w:sz w:val="24"/>
                <w:szCs w:val="24"/>
                <w:highlight w:val="none"/>
                <w14:textFill>
                  <w14:solidFill>
                    <w14:schemeClr w14:val="tx1"/>
                  </w14:solidFill>
                </w14:textFill>
              </w:rPr>
              <w:t>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000000" w:themeColor="text1"/>
                <w:sz w:val="24"/>
                <w:szCs w:val="24"/>
                <w:highlight w:val="none"/>
                <w:lang w:eastAsia="zh-CN"/>
                <w14:textFill>
                  <w14:solidFill>
                    <w14:schemeClr w14:val="tx1"/>
                  </w14:solidFill>
                </w14:textFill>
              </w:rPr>
              <w:t>取</w:t>
            </w:r>
            <w:r>
              <w:rPr>
                <w:rFonts w:hint="eastAsia" w:ascii="仿宋" w:hAnsi="仿宋" w:eastAsia="仿宋" w:cs="仿宋"/>
                <w:color w:val="000000" w:themeColor="text1"/>
                <w:sz w:val="24"/>
                <w:szCs w:val="24"/>
                <w:highlight w:val="none"/>
                <w14:textFill>
                  <w14:solidFill>
                    <w14:schemeClr w14:val="tx1"/>
                  </w14:solidFill>
                </w14:textFill>
              </w:rPr>
              <w:t>。</w:t>
            </w:r>
          </w:p>
          <w:bookmarkEnd w:id="20"/>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招标代理服务费的交纳方式：</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用银行支票、汇票、电汇、现金等付款方式直接交纳招标代理服务费。</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公司名称：浙江翔实建设项目管理有限公司</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开户行：建行绍兴越城支行 </w:t>
            </w:r>
          </w:p>
          <w:p>
            <w:pPr>
              <w:spacing w:line="288"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账  号：33001653549053003519</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szCs w:val="2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10"/>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bookmarkStart w:id="21" w:name="_Hlt74729768"/>
      <w:bookmarkEnd w:id="21"/>
      <w:bookmarkStart w:id="22" w:name="_Hlt68072990"/>
      <w:bookmarkEnd w:id="22"/>
      <w:bookmarkStart w:id="23" w:name="_Hlt68057669"/>
      <w:bookmarkEnd w:id="23"/>
      <w:bookmarkStart w:id="24" w:name="_Hlt74714665"/>
      <w:bookmarkEnd w:id="24"/>
      <w:bookmarkStart w:id="25" w:name="_Hlt75236290"/>
      <w:bookmarkEnd w:id="25"/>
      <w:bookmarkStart w:id="26" w:name="_Hlt75236011"/>
      <w:bookmarkEnd w:id="26"/>
      <w:bookmarkStart w:id="27" w:name="_Hlt68072998"/>
      <w:bookmarkEnd w:id="27"/>
      <w:bookmarkStart w:id="28" w:name="_Hlt75236101"/>
      <w:bookmarkEnd w:id="28"/>
      <w:bookmarkStart w:id="29" w:name="_Hlt68403820"/>
      <w:bookmarkEnd w:id="29"/>
      <w:bookmarkStart w:id="30" w:name="_Hlt74707468"/>
      <w:bookmarkEnd w:id="30"/>
      <w:bookmarkStart w:id="31" w:name="_Hlt68073093"/>
      <w:bookmarkEnd w:id="31"/>
      <w:bookmarkStart w:id="32" w:name="_Hlt74730295"/>
      <w:bookmarkEnd w:id="32"/>
      <w:bookmarkStart w:id="33" w:name="_Toc164416483"/>
      <w:bookmarkStart w:id="34" w:name="第三部分"/>
      <w:r>
        <w:rPr>
          <w:rFonts w:hint="eastAsia" w:ascii="仿宋" w:hAnsi="仿宋" w:eastAsia="仿宋" w:cs="仿宋"/>
          <w:b/>
          <w:color w:val="000000" w:themeColor="text1"/>
          <w:sz w:val="32"/>
          <w:szCs w:val="32"/>
          <w:highlight w:val="none"/>
          <w14:textFill>
            <w14:solidFill>
              <w14:schemeClr w14:val="tx1"/>
            </w14:solidFill>
          </w14:textFill>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3.采购项目需要落实的政府采购政策</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 xml:space="preserve">3.2 </w:t>
      </w:r>
      <w:r>
        <w:rPr>
          <w:rFonts w:hint="eastAsia" w:ascii="仿宋_GB2312" w:hAnsi="仿宋" w:eastAsia="仿宋_GB2312"/>
          <w:color w:val="000000" w:themeColor="text1"/>
          <w:sz w:val="24"/>
          <w:highlight w:val="none"/>
          <w14:textFill>
            <w14:solidFill>
              <w14:schemeClr w14:val="tx1"/>
            </w14:solidFill>
          </w14:textFill>
        </w:rPr>
        <w:t>支持绿色发展</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3.2.2</w:t>
      </w:r>
      <w:r>
        <w:rPr>
          <w:rFonts w:hint="eastAsia" w:ascii="仿宋_GB2312" w:hAnsi="仿宋" w:eastAsia="仿宋_GB2312"/>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w:t>
      </w:r>
      <w:r>
        <w:rPr>
          <w:rFonts w:hint="eastAsia" w:ascii="仿宋_GB2312" w:hAnsi="仿宋" w:eastAsia="仿宋_GB2312"/>
          <w:color w:val="000000" w:themeColor="text1"/>
          <w:sz w:val="24"/>
          <w:highlight w:val="none"/>
          <w:lang w:eastAsia="zh-CN"/>
          <w14:textFill>
            <w14:solidFill>
              <w14:schemeClr w14:val="tx1"/>
            </w14:solidFill>
          </w14:textFill>
        </w:rPr>
        <w:t>应</w:t>
      </w:r>
      <w:r>
        <w:rPr>
          <w:rFonts w:hint="eastAsia" w:ascii="仿宋_GB2312" w:hAnsi="仿宋" w:eastAsia="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 w:eastAsia="仿宋_GB2312"/>
          <w:color w:val="000000" w:themeColor="text1"/>
          <w:sz w:val="24"/>
          <w:highlight w:val="none"/>
          <w:lang w:eastAsia="zh-CN"/>
          <w14:textFill>
            <w14:solidFill>
              <w14:schemeClr w14:val="tx1"/>
            </w14:solidFill>
          </w14:textFill>
        </w:rPr>
        <w:t>按照</w:t>
      </w:r>
      <w:r>
        <w:rPr>
          <w:rFonts w:hint="eastAsia" w:ascii="仿宋_GB2312" w:hAnsi="仿宋" w:eastAsia="仿宋_GB2312"/>
          <w:color w:val="000000" w:themeColor="text1"/>
          <w:sz w:val="24"/>
          <w:highlight w:val="none"/>
          <w14:textFill>
            <w14:solidFill>
              <w14:schemeClr w14:val="tx1"/>
            </w14:solidFill>
          </w14:textFill>
        </w:rPr>
        <w:t>相关绿色建材政府采购需求标准</w:t>
      </w:r>
      <w:r>
        <w:rPr>
          <w:rFonts w:hint="eastAsia" w:ascii="仿宋_GB2312" w:hAnsi="仿宋" w:eastAsia="仿宋_GB2312"/>
          <w:color w:val="000000" w:themeColor="text1"/>
          <w:sz w:val="24"/>
          <w:highlight w:val="none"/>
          <w:lang w:eastAsia="zh-CN"/>
          <w14:textFill>
            <w14:solidFill>
              <w14:schemeClr w14:val="tx1"/>
            </w14:solidFill>
          </w14:textFill>
        </w:rPr>
        <w:t>执行</w:t>
      </w:r>
      <w:r>
        <w:rPr>
          <w:rFonts w:hint="eastAsia" w:ascii="仿宋_GB2312" w:hAnsi="仿宋" w:eastAsia="仿宋_GB2312"/>
          <w:color w:val="000000" w:themeColor="text1"/>
          <w:sz w:val="24"/>
          <w:highlight w:val="none"/>
          <w14:textFill>
            <w14:solidFill>
              <w14:schemeClr w14:val="tx1"/>
            </w14:solidFill>
          </w14:textFill>
        </w:rPr>
        <w:t>。</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w:t>
      </w:r>
      <w:r>
        <w:rPr>
          <w:rFonts w:hint="eastAsia" w:ascii="仿宋_GB2312" w:hAnsi="仿宋" w:eastAsia="仿宋_GB2312"/>
          <w:bCs/>
          <w:color w:val="000000" w:themeColor="text1"/>
          <w:sz w:val="24"/>
          <w:highlight w:val="none"/>
          <w14:textFill>
            <w14:solidFill>
              <w14:schemeClr w14:val="tx1"/>
            </w14:solidFill>
          </w14:textFill>
        </w:rPr>
        <w:t>小微</w:t>
      </w:r>
      <w:r>
        <w:rPr>
          <w:rFonts w:hint="eastAsia" w:ascii="仿宋_GB2312" w:hAnsi="仿宋" w:eastAsia="仿宋_GB2312"/>
          <w:color w:val="000000" w:themeColor="text1"/>
          <w:sz w:val="24"/>
          <w:highlight w:val="none"/>
          <w14:textFill>
            <w14:solidFill>
              <w14:schemeClr w14:val="tx1"/>
            </w14:solidFill>
          </w14:textFill>
        </w:rPr>
        <w:t>企业价格扣除</w:t>
      </w:r>
    </w:p>
    <w:p>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3.3.1小微企业是指</w:t>
      </w:r>
      <w:r>
        <w:rPr>
          <w:rFonts w:hint="eastAsia" w:ascii="仿宋_GB2312" w:hAnsi="仿宋" w:eastAsia="仿宋_GB2312"/>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3.4支持科技创新创新发展</w:t>
      </w:r>
    </w:p>
    <w:p>
      <w:pPr>
        <w:spacing w:line="440" w:lineRule="exact"/>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bCs/>
          <w:color w:val="000000" w:themeColor="text1"/>
          <w:sz w:val="24"/>
          <w:highlight w:val="none"/>
          <w14:textFill>
            <w14:solidFill>
              <w14:schemeClr w14:val="tx1"/>
            </w14:solidFill>
          </w14:textFill>
        </w:rPr>
        <w:t>4.特别说明：</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color w:val="000000" w:themeColor="text1"/>
          <w:highlight w:val="none"/>
          <w14:textFill>
            <w14:solidFill>
              <w14:schemeClr w14:val="tx1"/>
            </w14:solidFill>
          </w14:textFill>
        </w:rPr>
      </w:pPr>
    </w:p>
    <w:p>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“商务技术（资信）文件资料”、“报价文件资料”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2.2.6廉政承诺书（格式见第六部分附件）；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2.2.15培训计划（如有）；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2.2.16验收方案；</w:t>
      </w:r>
    </w:p>
    <w:p>
      <w:pPr>
        <w:snapToGrid w:val="0"/>
        <w:spacing w:line="336" w:lineRule="auto"/>
        <w:ind w:firstLine="720" w:firstLineChars="3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17</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中小企业声明函</w:t>
      </w:r>
      <w:r>
        <w:rPr>
          <w:rFonts w:hint="eastAsia" w:ascii="仿宋" w:hAnsi="仿宋" w:eastAsia="仿宋" w:cs="仿宋"/>
          <w:color w:val="000000" w:themeColor="text1"/>
          <w:sz w:val="24"/>
          <w:highlight w:val="none"/>
          <w:lang w:eastAsia="zh-CN"/>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2.3.</w:t>
      </w:r>
      <w:r>
        <w:rPr>
          <w:rFonts w:hint="eastAsia"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 xml:space="preserve"> </w:t>
      </w:r>
      <w:r>
        <w:rPr>
          <w:rFonts w:hint="default"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残疾人福利性单位声明函</w:t>
      </w:r>
      <w:r>
        <w:rPr>
          <w:rFonts w:hint="eastAsia" w:ascii="仿宋_GB2312" w:hAnsi="宋体" w:eastAsia="仿宋_GB2312" w:cs="仿宋_GB2312"/>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（如果有）</w:t>
      </w:r>
    </w:p>
    <w:p>
      <w:pPr>
        <w:adjustRightInd w:val="0"/>
        <w:snapToGrid w:val="0"/>
        <w:spacing w:line="440" w:lineRule="exact"/>
        <w:ind w:firstLine="0"/>
        <w:jc w:val="both"/>
        <w:rPr>
          <w:rFonts w:hint="eastAsia" w:ascii="仿宋" w:hAnsi="仿宋" w:eastAsia="仿宋" w:cs="仿宋"/>
          <w:b/>
          <w:bCs/>
          <w:color w:val="000000" w:themeColor="text1"/>
          <w:sz w:val="32"/>
          <w:highlight w:val="none"/>
          <w14:textFill>
            <w14:solidFill>
              <w14:schemeClr w14:val="tx1"/>
            </w14:solidFill>
          </w14:textFill>
        </w:rPr>
      </w:pPr>
      <w:r>
        <w:rPr>
          <w:rFonts w:hint="default"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pPr>
        <w:pStyle w:val="132"/>
        <w:snapToGrid w:val="0"/>
        <w:spacing w:before="0" w:line="440" w:lineRule="exact"/>
        <w:ind w:firstLine="0" w:firstLineChars="0"/>
        <w:outlineLvl w:val="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kern w:val="0"/>
          <w:szCs w:val="24"/>
          <w:highlight w:val="none"/>
          <w:lang w:val="zh-CN"/>
          <w14:textFill>
            <w14:solidFill>
              <w14:schemeClr w14:val="tx1"/>
            </w14:solidFill>
          </w14:textFill>
        </w:rPr>
        <w:t xml:space="preserve"> </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pPr>
        <w:pStyle w:val="132"/>
        <w:spacing w:before="0" w:line="44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 xml:space="preserve"> 投标文件的提交、补充、修改、撤回</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5"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35"/>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36" w:name="_Toc81372776"/>
      <w:bookmarkStart w:id="37" w:name="_Toc81372953"/>
      <w:bookmarkStart w:id="38"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6"/>
    <w:bookmarkEnd w:id="37"/>
    <w:bookmarkEnd w:id="38"/>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lang w:val="en-US" w:eastAsia="zh-CN"/>
          <w14:textFill>
            <w14:solidFill>
              <w14:schemeClr w14:val="tx1"/>
            </w14:solidFill>
          </w14:textFill>
        </w:rPr>
        <w:t>3个工作日内</w:t>
      </w:r>
      <w:r>
        <w:rPr>
          <w:rFonts w:hint="eastAsia" w:ascii="仿宋" w:hAnsi="仿宋" w:eastAsia="仿宋" w:cs="仿宋"/>
          <w:color w:val="000000" w:themeColor="text1"/>
          <w:sz w:val="24"/>
          <w:highlight w:val="none"/>
          <w:lang w:val="en-US" w:eastAsia="zh-CN"/>
          <w14:textFill>
            <w14:solidFill>
              <w14:schemeClr w14:val="tx1"/>
            </w14:solidFill>
          </w14:textFill>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3"/>
    <w:bookmarkEnd w:id="34"/>
    <w:p>
      <w:pPr>
        <w:spacing w:line="360" w:lineRule="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9" w:name="第五部分"/>
      <w:bookmarkStart w:id="40" w:name="_Toc862170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snapToGrid w:val="0"/>
        <w:spacing w:line="440" w:lineRule="exact"/>
        <w:jc w:val="left"/>
        <w:rPr>
          <w:rFonts w:hint="eastAsia"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lang w:val="en-US" w:eastAsia="zh-CN"/>
          <w14:textFill>
            <w14:solidFill>
              <w14:schemeClr w14:val="tx1"/>
            </w14:solidFill>
          </w14:textFill>
        </w:rPr>
        <w:t>1</w:t>
      </w:r>
      <w:r>
        <w:rPr>
          <w:rFonts w:hint="eastAsia" w:ascii="仿宋_GB2312" w:hAnsi="宋体" w:eastAsia="仿宋_GB2312"/>
          <w:b/>
          <w:color w:val="000000" w:themeColor="text1"/>
          <w:sz w:val="24"/>
          <w:highlight w:val="none"/>
          <w14:textFill>
            <w14:solidFill>
              <w14:schemeClr w14:val="tx1"/>
            </w14:solidFill>
          </w14:textFill>
        </w:rPr>
        <w:t>.招标项目设备名称及数量：</w:t>
      </w:r>
    </w:p>
    <w:p>
      <w:pPr>
        <w:numPr>
          <w:ilvl w:val="0"/>
          <w:numId w:val="1"/>
        </w:numPr>
        <w:autoSpaceDE w:val="0"/>
        <w:autoSpaceDN w:val="0"/>
        <w:spacing w:line="360" w:lineRule="auto"/>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w:t>
      </w:r>
      <w:r>
        <w:rPr>
          <w:rFonts w:ascii="宋体" w:hAnsi="宋体"/>
          <w:color w:val="000000" w:themeColor="text1"/>
          <w:sz w:val="24"/>
          <w:highlight w:val="none"/>
          <w14:textFill>
            <w14:solidFill>
              <w14:schemeClr w14:val="tx1"/>
            </w14:solidFill>
          </w14:textFill>
        </w:rPr>
        <w:t>编号：</w:t>
      </w:r>
      <w:r>
        <w:rPr>
          <w:rFonts w:hint="eastAsia" w:ascii="宋体" w:hAnsi="宋体"/>
          <w:color w:val="000000" w:themeColor="text1"/>
          <w:sz w:val="24"/>
          <w:highlight w:val="none"/>
          <w:lang w:eastAsia="zh-CN"/>
          <w14:textFill>
            <w14:solidFill>
              <w14:schemeClr w14:val="tx1"/>
            </w14:solidFill>
          </w14:textFill>
        </w:rPr>
        <w:t>ZJXSC-2024-339</w:t>
      </w:r>
    </w:p>
    <w:p>
      <w:pPr>
        <w:numPr>
          <w:ilvl w:val="0"/>
          <w:numId w:val="1"/>
        </w:numPr>
        <w:autoSpaceDE w:val="0"/>
        <w:autoSpaceDN w:val="0"/>
        <w:spacing w:line="360" w:lineRule="auto"/>
        <w:textAlignment w:val="bottom"/>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采购单位名称：</w:t>
      </w:r>
      <w:r>
        <w:rPr>
          <w:rFonts w:hint="eastAsia" w:ascii="宋体" w:hAnsi="宋体"/>
          <w:color w:val="000000" w:themeColor="text1"/>
          <w:sz w:val="24"/>
          <w:highlight w:val="none"/>
          <w:lang w:eastAsia="zh-CN"/>
          <w14:textFill>
            <w14:solidFill>
              <w14:schemeClr w14:val="tx1"/>
            </w14:solidFill>
          </w14:textFill>
        </w:rPr>
        <w:t>绍兴市中医院</w:t>
      </w:r>
    </w:p>
    <w:p>
      <w:pPr>
        <w:numPr>
          <w:ilvl w:val="0"/>
          <w:numId w:val="1"/>
        </w:numPr>
        <w:autoSpaceDE w:val="0"/>
        <w:autoSpaceDN w:val="0"/>
        <w:spacing w:line="360" w:lineRule="auto"/>
        <w:textAlignment w:val="bottom"/>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120" w:afterLines="50"/>
              <w:jc w:val="center"/>
              <w:outlineLvl w:val="0"/>
              <w:rPr>
                <w:rFonts w:hint="eastAsia" w:ascii="宋体" w:hAnsi="宋体"/>
                <w:b/>
                <w:color w:val="000000" w:themeColor="text1"/>
                <w:spacing w:val="-4"/>
                <w:sz w:val="24"/>
                <w:highlight w:val="none"/>
                <w14:textFill>
                  <w14:solidFill>
                    <w14:schemeClr w14:val="tx1"/>
                  </w14:solidFill>
                </w14:textFill>
              </w:rPr>
            </w:pPr>
            <w:r>
              <w:rPr>
                <w:rFonts w:hint="eastAsia" w:ascii="宋体" w:hAnsi="宋体"/>
                <w:b/>
                <w:color w:val="000000" w:themeColor="text1"/>
                <w:spacing w:val="-4"/>
                <w:sz w:val="24"/>
                <w:highlight w:val="none"/>
                <w14:textFill>
                  <w14:solidFill>
                    <w14:schemeClr w14:val="tx1"/>
                  </w14:solidFill>
                </w14:textFill>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000000" w:themeColor="text1"/>
                <w:spacing w:val="-4"/>
                <w:sz w:val="24"/>
                <w:highlight w:val="none"/>
                <w14:textFill>
                  <w14:solidFill>
                    <w14:schemeClr w14:val="tx1"/>
                  </w14:solidFill>
                </w14:textFill>
              </w:rPr>
            </w:pPr>
            <w:r>
              <w:rPr>
                <w:rFonts w:ascii="宋体" w:hAnsi="宋体"/>
                <w:b/>
                <w:color w:val="000000" w:themeColor="text1"/>
                <w:spacing w:val="-4"/>
                <w:sz w:val="24"/>
                <w:highlight w:val="none"/>
                <w14:textFill>
                  <w14:solidFill>
                    <w14:schemeClr w14:val="tx1"/>
                  </w14:solidFill>
                </w14:textFill>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000000" w:themeColor="text1"/>
                <w:spacing w:val="-4"/>
                <w:sz w:val="24"/>
                <w:highlight w:val="none"/>
                <w14:textFill>
                  <w14:solidFill>
                    <w14:schemeClr w14:val="tx1"/>
                  </w14:solidFill>
                </w14:textFill>
              </w:rPr>
            </w:pPr>
            <w:r>
              <w:rPr>
                <w:rFonts w:ascii="宋体" w:hAnsi="宋体"/>
                <w:b/>
                <w:color w:val="000000" w:themeColor="text1"/>
                <w:spacing w:val="-4"/>
                <w:sz w:val="24"/>
                <w:highlight w:val="none"/>
                <w14:textFill>
                  <w14:solidFill>
                    <w14:schemeClr w14:val="tx1"/>
                  </w14:solidFill>
                </w14:textFill>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color w:val="000000" w:themeColor="text1"/>
                <w:spacing w:val="-4"/>
                <w:sz w:val="24"/>
                <w:highlight w:val="none"/>
                <w14:textFill>
                  <w14:solidFill>
                    <w14:schemeClr w14:val="tx1"/>
                  </w14:solidFill>
                </w14:textFill>
              </w:rPr>
            </w:pPr>
            <w:r>
              <w:rPr>
                <w:rFonts w:ascii="宋体" w:hAnsi="宋体"/>
                <w:color w:val="000000" w:themeColor="text1"/>
                <w:spacing w:val="-4"/>
                <w:sz w:val="24"/>
                <w:highlight w:val="none"/>
                <w14:textFill>
                  <w14:solidFill>
                    <w14:schemeClr w14:val="tx1"/>
                  </w14:solidFill>
                </w14:textFill>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s="Times New Roman"/>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color w:val="000000" w:themeColor="text1"/>
                <w:spacing w:val="-4"/>
                <w:sz w:val="24"/>
                <w:highlight w:val="none"/>
                <w:lang w:val="en-US" w:eastAsia="zh-CN"/>
                <w14:textFill>
                  <w14:solidFill>
                    <w14:schemeClr w14:val="tx1"/>
                  </w14:solidFill>
                </w14:textFill>
              </w:rPr>
              <w:t>银质针导热巡检仪</w:t>
            </w:r>
          </w:p>
        </w:tc>
        <w:tc>
          <w:tcPr>
            <w:tcW w:w="22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default" w:ascii="宋体" w:hAnsi="宋体" w:eastAsia="宋体" w:cs="Times New Roman"/>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color w:val="000000" w:themeColor="text1"/>
                <w:spacing w:val="-4"/>
                <w:sz w:val="24"/>
                <w:highlight w:val="none"/>
                <w:lang w:val="en-US" w:eastAsia="zh-CN"/>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olor w:val="000000" w:themeColor="text1"/>
                <w:spacing w:val="-4"/>
                <w:sz w:val="24"/>
                <w:highlight w:val="none"/>
                <w:lang w:val="en-US" w:eastAsia="zh-CN"/>
                <w14:textFill>
                  <w14:solidFill>
                    <w14:schemeClr w14:val="tx1"/>
                  </w14:solidFill>
                </w14:textFill>
              </w:rPr>
            </w:pPr>
            <w:r>
              <w:rPr>
                <w:rFonts w:hint="eastAsia" w:ascii="宋体" w:hAnsi="宋体"/>
                <w:color w:val="000000" w:themeColor="text1"/>
                <w:spacing w:val="-4"/>
                <w:sz w:val="24"/>
                <w:highlight w:val="none"/>
                <w:lang w:val="en-US" w:eastAsia="zh-CN"/>
                <w14:textFill>
                  <w14:solidFill>
                    <w14:schemeClr w14:val="tx1"/>
                  </w14:solidFill>
                </w14:textFill>
              </w:rPr>
              <w:t>2</w:t>
            </w:r>
          </w:p>
        </w:tc>
        <w:tc>
          <w:tcPr>
            <w:tcW w:w="421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s="Times New Roman"/>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color w:val="000000" w:themeColor="text1"/>
                <w:spacing w:val="-4"/>
                <w:sz w:val="24"/>
                <w:highlight w:val="none"/>
                <w:lang w:val="en-US" w:eastAsia="zh-CN"/>
                <w14:textFill>
                  <w14:solidFill>
                    <w14:schemeClr w14:val="tx1"/>
                  </w14:solidFill>
                </w14:textFill>
              </w:rPr>
              <w:t>多功能麻精药品智能复合柜</w:t>
            </w:r>
          </w:p>
        </w:tc>
        <w:tc>
          <w:tcPr>
            <w:tcW w:w="22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s="Times New Roman"/>
                <w:b w:val="0"/>
                <w:bCs w:val="0"/>
                <w:color w:val="000000" w:themeColor="text1"/>
                <w:spacing w:val="-4"/>
                <w:sz w:val="24"/>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pacing w:val="-4"/>
                <w:sz w:val="24"/>
                <w:highlight w:val="none"/>
                <w:lang w:val="en-US" w:eastAsia="zh-CN"/>
                <w14:textFill>
                  <w14:solidFill>
                    <w14:schemeClr w14:val="tx1"/>
                  </w14:solidFill>
                </w14:textFill>
              </w:rPr>
              <w:t>1台</w:t>
            </w:r>
          </w:p>
        </w:tc>
      </w:tr>
    </w:tbl>
    <w:p>
      <w:pPr>
        <w:numPr>
          <w:ilvl w:val="0"/>
          <w:numId w:val="1"/>
        </w:numPr>
        <w:autoSpaceDE w:val="0"/>
        <w:autoSpaceDN w:val="0"/>
        <w:spacing w:line="360" w:lineRule="auto"/>
        <w:textAlignment w:val="bottom"/>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技术需求及商务要求</w:t>
      </w:r>
    </w:p>
    <w:p>
      <w:pPr>
        <w:rPr>
          <w:b/>
          <w:color w:val="000000" w:themeColor="text1"/>
          <w14:textFill>
            <w14:solidFill>
              <w14:schemeClr w14:val="tx1"/>
            </w14:solidFill>
          </w14:textFill>
        </w:rPr>
      </w:pPr>
      <w:r>
        <w:rPr>
          <w:rFonts w:hint="eastAsia"/>
          <w:b/>
          <w:color w:val="000000" w:themeColor="text1"/>
          <w:bdr w:val="single" w:color="auto" w:sz="4" w:space="0"/>
          <w14:textFill>
            <w14:solidFill>
              <w14:schemeClr w14:val="tx1"/>
            </w14:solidFill>
          </w14:textFill>
        </w:rPr>
        <w:t>01标</w:t>
      </w:r>
      <w:r>
        <w:rPr>
          <w:rFonts w:hint="eastAsia"/>
          <w:b/>
          <w:color w:val="000000" w:themeColor="text1"/>
          <w14:textFill>
            <w14:solidFill>
              <w14:schemeClr w14:val="tx1"/>
            </w14:solidFill>
          </w14:textFill>
        </w:rPr>
        <w:t>银质针导热巡检仪 预算28万元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一、品牌、型号：</w:t>
            </w:r>
            <w:r>
              <w:rPr>
                <w:rFonts w:hint="eastAsia"/>
                <w:color w:val="000000" w:themeColor="text1"/>
                <w14:textFill>
                  <w14:solidFill>
                    <w14:schemeClr w14:val="tx1"/>
                  </w14:solidFill>
                </w14:textFill>
              </w:rPr>
              <w:t>品牌型号自选</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二、适用范围：</w:t>
            </w:r>
            <w:r>
              <w:rPr>
                <w:rFonts w:hint="eastAsia"/>
                <w:color w:val="000000" w:themeColor="text1"/>
                <w14:textFill>
                  <w14:solidFill>
                    <w14:schemeClr w14:val="tx1"/>
                  </w14:solidFill>
                </w14:textFill>
              </w:rPr>
              <w:t>适用于对肌筋膜软组织疼痛等疾病的治疗。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color w:val="000000" w:themeColor="text1"/>
                <w14:textFill>
                  <w14:solidFill>
                    <w14:schemeClr w14:val="tx1"/>
                  </w14:solidFill>
                </w14:textFill>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color w:val="000000" w:themeColor="text1"/>
                <w14:textFill>
                  <w14:solidFill>
                    <w14:schemeClr w14:val="tx1"/>
                  </w14:solidFill>
                </w14:textFill>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设备参数要求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主机温控探头：≥</w:t>
            </w:r>
            <w:r>
              <w:rPr>
                <w:rFonts w:ascii="Times New Roman" w:hAnsi="Times New Roman" w:cs="Times New Roman"/>
                <w:color w:val="000000" w:themeColor="text1"/>
                <w14:textFill>
                  <w14:solidFill>
                    <w14:schemeClr w14:val="tx1"/>
                  </w14:solidFill>
                </w14:textFill>
              </w:rPr>
              <w:t>32</w:t>
            </w:r>
            <w:r>
              <w:rPr>
                <w:color w:val="000000" w:themeColor="text1"/>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主机输入功率≤</w:t>
            </w:r>
            <w:r>
              <w:rPr>
                <w:rFonts w:ascii="Times New Roman" w:hAnsi="Times New Roman" w:cs="Times New Roman"/>
                <w:color w:val="000000" w:themeColor="text1"/>
                <w14:textFill>
                  <w14:solidFill>
                    <w14:schemeClr w14:val="tx1"/>
                  </w14:solidFill>
                </w14:textFill>
              </w:rPr>
              <w:t>240VA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3.1.1.3</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每路温控探头：功耗≤</w:t>
            </w:r>
            <w:r>
              <w:rPr>
                <w:rFonts w:ascii="Times New Roman" w:hAnsi="Times New Roman" w:cs="Times New Roman"/>
                <w:color w:val="000000" w:themeColor="text1"/>
                <w14:textFill>
                  <w14:solidFill>
                    <w14:schemeClr w14:val="tx1"/>
                  </w14:solidFill>
                </w14:textFill>
              </w:rPr>
              <w:t>5W</w:t>
            </w:r>
            <w:r>
              <w:rPr>
                <w:rFonts w:hint="eastAsia"/>
                <w:color w:val="000000" w:themeColor="text1"/>
                <w14:textFill>
                  <w14:solidFill>
                    <w14:schemeClr w14:val="tx1"/>
                  </w14:solidFill>
                </w14:textFill>
              </w:rPr>
              <w:t>；工作电压≤</w:t>
            </w:r>
            <w:r>
              <w:rPr>
                <w:rFonts w:ascii="Times New Roman" w:hAnsi="Times New Roman" w:cs="Times New Roman"/>
                <w:color w:val="000000" w:themeColor="text1"/>
                <w14:textFill>
                  <w14:solidFill>
                    <w14:schemeClr w14:val="tx1"/>
                  </w14:solidFill>
                </w14:textFill>
              </w:rPr>
              <w:t>15V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▲3.1.1.4</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每路温控探头温度独立可调，加热设置范围≥（</w:t>
            </w:r>
            <w:r>
              <w:rPr>
                <w:rFonts w:ascii="Times New Roman" w:hAnsi="Times New Roman" w:cs="Times New Roman"/>
                <w:color w:val="000000" w:themeColor="text1"/>
                <w14:textFill>
                  <w14:solidFill>
                    <w14:schemeClr w14:val="tx1"/>
                  </w14:solidFill>
                </w14:textFill>
              </w:rPr>
              <w:t>80～110</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,误差</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3.1.1.5</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探头稳态温度波动≤</w:t>
            </w:r>
            <w:r>
              <w:rPr>
                <w:rFonts w:ascii="Times New Roman" w:hAnsi="Times New Roman"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3.1.1.6</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探头温度≥温度设置值</w:t>
            </w:r>
            <w:r>
              <w:rPr>
                <w:rFonts w:ascii="Times New Roman" w:hAnsi="Times New Roman" w:cs="Times New Roman"/>
                <w:color w:val="000000" w:themeColor="text1"/>
                <w14:textFill>
                  <w14:solidFill>
                    <w14:schemeClr w14:val="tx1"/>
                  </w14:solidFill>
                </w14:textFill>
              </w:rPr>
              <w:t>+10</w:t>
            </w:r>
            <w:r>
              <w:rPr>
                <w:rFonts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时，触发超温保护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▲3.1.1.7</w:t>
            </w: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主机在运行过程中也可调节温度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3.1.1.8</w:t>
            </w:r>
          </w:p>
        </w:tc>
        <w:tc>
          <w:tcPr>
            <w:tcW w:w="6912" w:type="dxa"/>
            <w:tcBorders>
              <w:top w:val="single" w:color="auto" w:sz="4" w:space="0"/>
              <w:left w:val="single" w:color="auto" w:sz="4" w:space="0"/>
              <w:bottom w:val="single" w:color="auto" w:sz="4" w:space="0"/>
              <w:right w:val="single" w:color="auto" w:sz="4" w:space="0"/>
            </w:tcBorders>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时间设置范围</w:t>
            </w:r>
            <w:r>
              <w:rPr>
                <w:rFonts w:ascii="Times New Roman" w:hAnsi="Times New Roman" w:cs="Times New Roman"/>
                <w:color w:val="000000" w:themeColor="text1"/>
                <w14:textFill>
                  <w14:solidFill>
                    <w14:schemeClr w14:val="tx1"/>
                  </w14:solidFill>
                </w14:textFill>
              </w:rPr>
              <w:t>0-99</w:t>
            </w:r>
            <w:r>
              <w:rPr>
                <w:color w:val="000000" w:themeColor="text1"/>
                <w14:textFill>
                  <w14:solidFill>
                    <w14:schemeClr w14:val="tx1"/>
                  </w14:solidFill>
                </w14:textFill>
              </w:rPr>
              <w:t>分钟，可任意设定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3.1.1.9</w:t>
            </w:r>
          </w:p>
        </w:tc>
        <w:tc>
          <w:tcPr>
            <w:tcW w:w="6912" w:type="dxa"/>
            <w:tcBorders>
              <w:top w:val="single" w:color="auto" w:sz="4" w:space="0"/>
              <w:left w:val="single" w:color="auto" w:sz="4" w:space="0"/>
              <w:bottom w:val="single" w:color="auto" w:sz="4" w:space="0"/>
              <w:right w:val="single" w:color="auto" w:sz="4" w:space="0"/>
            </w:tcBorders>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探头参数：</w:t>
            </w:r>
          </w:p>
          <w:p>
            <w:pPr>
              <w:tabs>
                <w:tab w:val="left" w:pos="560"/>
              </w:tabs>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外径</w:t>
            </w:r>
            <w:r>
              <w:rPr>
                <w:rFonts w:ascii="Times New Roman" w:hAnsi="Times New Roman" w:cs="Times New Roman"/>
                <w:color w:val="000000" w:themeColor="text1"/>
                <w14:textFill>
                  <w14:solidFill>
                    <w14:schemeClr w14:val="tx1"/>
                  </w14:solidFill>
                </w14:textFill>
              </w:rPr>
              <w:t>7.5mm</w:t>
            </w:r>
            <w:r>
              <w:rPr>
                <w:rFonts w:hint="eastAsia" w:ascii="Times New Roman" w:hAnsi="Times New Roman" w:cs="Times New Roman"/>
                <w:color w:val="000000" w:themeColor="text1"/>
                <w14:textFill>
                  <w14:solidFill>
                    <w14:schemeClr w14:val="tx1"/>
                  </w14:solidFill>
                </w14:textFill>
              </w:rPr>
              <w:t>±0.2mm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长度</w:t>
            </w:r>
            <w:r>
              <w:rPr>
                <w:rFonts w:ascii="Times New Roman" w:hAnsi="Times New Roman" w:cs="Times New Roman"/>
                <w:color w:val="000000" w:themeColor="text1"/>
                <w14:textFill>
                  <w14:solidFill>
                    <w14:schemeClr w14:val="tx1"/>
                  </w14:solidFill>
                </w14:textFill>
              </w:rPr>
              <w:t>60mm</w:t>
            </w:r>
            <w:r>
              <w:rPr>
                <w:rFonts w:hint="eastAsia" w:ascii="Times New Roman" w:hAnsi="Times New Roman" w:cs="Times New Roman"/>
                <w:color w:val="000000" w:themeColor="text1"/>
                <w14:textFill>
                  <w14:solidFill>
                    <w14:schemeClr w14:val="tx1"/>
                  </w14:solidFill>
                </w14:textFill>
              </w:rPr>
              <w:t>±5mm；</w:t>
            </w:r>
          </w:p>
          <w:p>
            <w:pPr>
              <w:tabs>
                <w:tab w:val="left" w:pos="560"/>
              </w:tabs>
              <w:jc w:val="both"/>
              <w:rPr>
                <w:rFonts w:ascii="仿宋" w:hAnsi="仿宋"/>
                <w:color w:val="000000" w:themeColor="text1"/>
                <w:kern w:val="22"/>
                <w:sz w:val="24"/>
                <w:szCs w:val="24"/>
                <w14:textFill>
                  <w14:solidFill>
                    <w14:schemeClr w14:val="tx1"/>
                  </w14:solidFill>
                </w14:textFill>
              </w:rPr>
            </w:pPr>
            <w:r>
              <w:rPr>
                <w:color w:val="000000" w:themeColor="text1"/>
                <w14:textFill>
                  <w14:solidFill>
                    <w14:schemeClr w14:val="tx1"/>
                  </w14:solidFill>
                </w14:textFill>
              </w:rPr>
              <w:t>内</w:t>
            </w:r>
            <w:r>
              <w:rPr>
                <w:rFonts w:hint="eastAsia"/>
                <w:color w:val="000000" w:themeColor="text1"/>
                <w14:textFill>
                  <w14:solidFill>
                    <w14:schemeClr w14:val="tx1"/>
                  </w14:solidFill>
                </w14:textFill>
              </w:rPr>
              <w:t>径</w:t>
            </w:r>
            <w:r>
              <w:rPr>
                <w:rFonts w:ascii="Times New Roman" w:hAnsi="Times New Roman" w:cs="Times New Roman"/>
                <w:color w:val="000000" w:themeColor="text1"/>
                <w14:textFill>
                  <w14:solidFill>
                    <w14:schemeClr w14:val="tx1"/>
                  </w14:solidFill>
                </w14:textFill>
              </w:rPr>
              <w:t>1.9mm</w:t>
            </w:r>
            <w:r>
              <w:rPr>
                <w:rFonts w:hint="eastAsia" w:ascii="Times New Roman" w:hAnsi="Times New Roman" w:cs="Times New Roman"/>
                <w:color w:val="000000" w:themeColor="text1"/>
                <w14:textFill>
                  <w14:solidFill>
                    <w14:schemeClr w14:val="tx1"/>
                  </w14:solidFill>
                </w14:textFill>
              </w:rPr>
              <w:t>±0.2mm</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孔深</w:t>
            </w:r>
            <w:r>
              <w:rPr>
                <w:rFonts w:ascii="Times New Roman" w:hAnsi="Times New Roman" w:cs="Times New Roman"/>
                <w:color w:val="000000" w:themeColor="text1"/>
                <w14:textFill>
                  <w14:solidFill>
                    <w14:schemeClr w14:val="tx1"/>
                  </w14:solidFill>
                </w14:textFill>
              </w:rPr>
              <w:t>50mm</w:t>
            </w:r>
            <w:r>
              <w:rPr>
                <w:rFonts w:hint="eastAsia" w:ascii="Times New Roman" w:hAnsi="Times New Roman" w:cs="Times New Roman"/>
                <w:color w:val="000000" w:themeColor="text1"/>
                <w14:textFill>
                  <w14:solidFill>
                    <w14:schemeClr w14:val="tx1"/>
                  </w14:solidFill>
                </w14:textFill>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▲3.1.1.10</w:t>
            </w:r>
          </w:p>
        </w:tc>
        <w:tc>
          <w:tcPr>
            <w:tcW w:w="6912" w:type="dxa"/>
            <w:tcBorders>
              <w:top w:val="single" w:color="auto" w:sz="4" w:space="0"/>
              <w:left w:val="single" w:color="auto" w:sz="4" w:space="0"/>
              <w:bottom w:val="single" w:color="auto" w:sz="4" w:space="0"/>
              <w:right w:val="single" w:color="auto" w:sz="4" w:space="0"/>
            </w:tcBorders>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主机支架可多角度多高度支撑拖挂和固定导联线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c>
          <w:tcPr>
            <w:tcW w:w="6912"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3.2配置要求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3.2.1</w:t>
            </w:r>
          </w:p>
        </w:tc>
        <w:tc>
          <w:tcPr>
            <w:tcW w:w="7036"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主机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3.2.2</w:t>
            </w:r>
          </w:p>
        </w:tc>
        <w:tc>
          <w:tcPr>
            <w:tcW w:w="7036"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银质针：100根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3.2.3</w:t>
            </w:r>
          </w:p>
        </w:tc>
        <w:tc>
          <w:tcPr>
            <w:tcW w:w="7036"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银质针矫直器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3.2.4</w:t>
            </w:r>
          </w:p>
        </w:tc>
        <w:tc>
          <w:tcPr>
            <w:tcW w:w="7036"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contextualSpacing/>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银质针测温仪：1台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color w:val="000000" w:themeColor="text1"/>
                <w14:textFill>
                  <w14:solidFill>
                    <w14:schemeClr w14:val="tx1"/>
                  </w14:solidFill>
                </w14:textFill>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2提供用户中英文操作手册、维修手册、技术参数彩色样本及塑封操作规程各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1" w:firstLineChars="100"/>
              <w:rPr>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5.1设备验收合格后免费原厂整机保修3年，保修期外只收配件费，不收维修费，提供仪器相关</w:t>
            </w:r>
            <w:r>
              <w:rPr>
                <w:rFonts w:hint="eastAsia"/>
                <w:bCs/>
                <w:color w:val="000000" w:themeColor="text1"/>
                <w14:textFill>
                  <w14:solidFill>
                    <w14:schemeClr w14:val="tx1"/>
                  </w14:solidFill>
                </w14:textFill>
              </w:rPr>
              <w:t>专用耗材、</w:t>
            </w:r>
            <w:r>
              <w:rPr>
                <w:rFonts w:hint="eastAsia"/>
                <w:color w:val="000000" w:themeColor="text1"/>
                <w14:textFill>
                  <w14:solidFill>
                    <w14:schemeClr w14:val="tx1"/>
                  </w14:solidFill>
                </w14:textFill>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5.4免费提供至少2名操作人员和1名维修人员的培训。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5.5免费终身提供软件升级。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6.1到货期：合同生效后，60天内供货并安装。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6.3验收标准：应与产品原始样本技术数据及标书技术文件一致，符合国家有关技术规范和技术标准，并提供所有有效证件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rPr>
          <w:b/>
          <w:color w:val="000000" w:themeColor="text1"/>
          <w14:textFill>
            <w14:solidFill>
              <w14:schemeClr w14:val="tx1"/>
            </w14:solidFill>
          </w14:textFill>
        </w:rPr>
      </w:pPr>
      <w:r>
        <w:rPr>
          <w:rFonts w:hint="eastAsia"/>
          <w:b/>
          <w:color w:val="000000" w:themeColor="text1"/>
          <w:bdr w:val="single" w:color="auto" w:sz="4" w:space="0"/>
          <w14:textFill>
            <w14:solidFill>
              <w14:schemeClr w14:val="tx1"/>
            </w14:solidFill>
          </w14:textFill>
        </w:rPr>
        <w:t>0</w:t>
      </w:r>
      <w:r>
        <w:rPr>
          <w:rFonts w:hint="eastAsia"/>
          <w:b/>
          <w:color w:val="000000" w:themeColor="text1"/>
          <w:bdr w:val="single" w:color="auto" w:sz="4" w:space="0"/>
          <w:lang w:val="en-US" w:eastAsia="zh-CN"/>
          <w14:textFill>
            <w14:solidFill>
              <w14:schemeClr w14:val="tx1"/>
            </w14:solidFill>
          </w14:textFill>
        </w:rPr>
        <w:t>2</w:t>
      </w:r>
      <w:r>
        <w:rPr>
          <w:rFonts w:hint="eastAsia"/>
          <w:b/>
          <w:color w:val="000000" w:themeColor="text1"/>
          <w:bdr w:val="single" w:color="auto" w:sz="4" w:space="0"/>
          <w14:textFill>
            <w14:solidFill>
              <w14:schemeClr w14:val="tx1"/>
            </w14:solidFill>
          </w14:textFill>
        </w:rPr>
        <w:t>标</w:t>
      </w:r>
      <w:r>
        <w:rPr>
          <w:rFonts w:hint="eastAsia" w:ascii="Times New Roman" w:hAnsi="Times New Roman" w:eastAsia="宋体" w:cs="Times New Roman"/>
          <w:b/>
          <w:color w:val="000000" w:themeColor="text1"/>
          <w14:textFill>
            <w14:solidFill>
              <w14:schemeClr w14:val="tx1"/>
            </w14:solidFill>
          </w14:textFill>
        </w:rPr>
        <w:t>多功能麻精药品智能复合柜</w:t>
      </w:r>
      <w:r>
        <w:rPr>
          <w:rFonts w:hint="eastAsia"/>
          <w:b/>
          <w:color w:val="000000" w:themeColor="text1"/>
          <w14:textFill>
            <w14:solidFill>
              <w14:schemeClr w14:val="tx1"/>
            </w14:solidFill>
          </w14:textFill>
        </w:rPr>
        <w:t xml:space="preserve"> 预算2</w:t>
      </w:r>
      <w:r>
        <w:rPr>
          <w:rFonts w:hint="eastAsia"/>
          <w:b/>
          <w:color w:val="000000" w:themeColor="text1"/>
          <w:lang w:val="en-US" w:eastAsia="zh-CN"/>
          <w14:textFill>
            <w14:solidFill>
              <w14:schemeClr w14:val="tx1"/>
            </w14:solidFill>
          </w14:textFill>
        </w:rPr>
        <w:t>5</w:t>
      </w:r>
      <w:r>
        <w:rPr>
          <w:rFonts w:hint="eastAsia"/>
          <w:b/>
          <w:color w:val="000000" w:themeColor="text1"/>
          <w14:textFill>
            <w14:solidFill>
              <w14:schemeClr w14:val="tx1"/>
            </w14:solidFill>
          </w14:textFill>
        </w:rPr>
        <w:t>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一、品牌、型号：</w:t>
            </w:r>
            <w:r>
              <w:rPr>
                <w:rFonts w:hint="eastAsia"/>
                <w:color w:val="000000" w:themeColor="text1"/>
                <w14:textFill>
                  <w14:solidFill>
                    <w14:schemeClr w14:val="tx1"/>
                  </w14:solidFill>
                </w14:textFill>
              </w:rPr>
              <w:t>品牌型号自选</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二、适用范围：</w:t>
            </w:r>
            <w:r>
              <w:rPr>
                <w:rFonts w:hint="eastAsia"/>
                <w:color w:val="000000" w:themeColor="text1"/>
                <w14:textFill>
                  <w14:solidFill>
                    <w14:schemeClr w14:val="tx1"/>
                  </w14:solidFill>
                </w14:textFill>
              </w:rPr>
              <w:t>用于实现麻精药品的存取、计数、核对、盘点、登记、追溯、纠错、监控、安防等智能化管理。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color w:val="000000" w:themeColor="text1"/>
                <w14:textFill>
                  <w14:solidFill>
                    <w14:schemeClr w14:val="tx1"/>
                  </w14:solidFill>
                </w14:textFill>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color w:val="000000" w:themeColor="text1"/>
                <w14:textFill>
                  <w14:solidFill>
                    <w14:schemeClr w14:val="tx1"/>
                  </w14:solidFill>
                </w14:textFill>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麻精柜参数要求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w:t>
            </w:r>
          </w:p>
        </w:tc>
        <w:tc>
          <w:tcPr>
            <w:tcW w:w="6912" w:type="dxa"/>
            <w:tcBorders>
              <w:top w:val="single" w:color="auto" w:sz="4" w:space="0"/>
              <w:left w:val="single" w:color="auto" w:sz="4" w:space="0"/>
              <w:bottom w:val="single" w:color="auto" w:sz="4" w:space="0"/>
              <w:right w:val="single" w:color="auto" w:sz="4" w:space="0"/>
            </w:tcBorders>
            <w:noWrap w:val="0"/>
            <w:vAlign w:val="top"/>
          </w:tcPr>
          <w:p>
            <w:pPr>
              <w:tabs>
                <w:tab w:val="center" w:pos="3348"/>
              </w:tabs>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柜体</w:t>
            </w:r>
            <w:r>
              <w:rPr>
                <w:rFonts w:hint="eastAsia"/>
                <w:color w:val="000000" w:themeColor="text1"/>
                <w14:textFill>
                  <w14:solidFill>
                    <w14:schemeClr w14:val="tx1"/>
                  </w14:solidFill>
                </w14:textFill>
              </w:rPr>
              <w:t>尺寸：</w:t>
            </w:r>
            <w:r>
              <w:rPr>
                <w:color w:val="000000" w:themeColor="text1"/>
                <w14:textFill>
                  <w14:solidFill>
                    <w14:schemeClr w14:val="tx1"/>
                  </w14:solidFill>
                </w14:textFill>
              </w:rPr>
              <w:t>宽度</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00mm</w:t>
            </w:r>
            <w:r>
              <w:rPr>
                <w:rFonts w:hint="eastAsia"/>
                <w:color w:val="000000" w:themeColor="text1"/>
                <w14:textFill>
                  <w14:solidFill>
                    <w14:schemeClr w14:val="tx1"/>
                  </w14:solidFill>
                </w14:textFill>
              </w:rPr>
              <w:t>±50mm，深度700mm±50mm，</w:t>
            </w:r>
            <w:r>
              <w:rPr>
                <w:color w:val="000000" w:themeColor="text1"/>
                <w14:textFill>
                  <w14:solidFill>
                    <w14:schemeClr w14:val="tx1"/>
                  </w14:solidFill>
                </w14:textFill>
              </w:rPr>
              <w:t>高度1</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0mm</w:t>
            </w:r>
            <w:r>
              <w:rPr>
                <w:rFonts w:hint="eastAsia"/>
                <w:color w:val="000000" w:themeColor="text1"/>
                <w14:textFill>
                  <w14:solidFill>
                    <w14:schemeClr w14:val="tx1"/>
                  </w14:solidFill>
                </w14:textFill>
              </w:rPr>
              <w:t>±50mm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柜体材料：结构主体需采用高强度金属钢，抽屉表面铝合金阳极氧化处理、柜体表面粉体涂料抑菌处理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3.1.1.3</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底部具有移动脚轮，</w:t>
            </w:r>
            <w:r>
              <w:rPr>
                <w:color w:val="000000" w:themeColor="text1"/>
                <w14:textFill>
                  <w14:solidFill>
                    <w14:schemeClr w14:val="tx1"/>
                  </w14:solidFill>
                </w14:textFill>
              </w:rPr>
              <w:t>静音、防滑减震、抗酸碱、防锈</w:t>
            </w:r>
            <w:r>
              <w:rPr>
                <w:rFonts w:hint="eastAsia"/>
                <w:color w:val="000000" w:themeColor="text1"/>
                <w14:textFill>
                  <w14:solidFill>
                    <w14:schemeClr w14:val="tx1"/>
                  </w14:solidFill>
                </w14:textFill>
              </w:rPr>
              <w:t>，自带位置固定装置，承重≥</w:t>
            </w:r>
            <w:r>
              <w:rPr>
                <w:rFonts w:ascii="Times New Roman" w:hAnsi="Times New Roman" w:cs="Times New Roman"/>
                <w:color w:val="000000" w:themeColor="text1"/>
                <w14:textFill>
                  <w14:solidFill>
                    <w14:schemeClr w14:val="tx1"/>
                  </w14:solidFill>
                </w14:textFill>
              </w:rPr>
              <w:t>350Kg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3.1.1.4</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配置有安防模块，可连接医院安防系统。设备被异常使用或暴力破坏时自动发出警报，符合《医疗机构麻醉药品、第一类精神药品管理规定》第二十三条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3.1.1.5</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整柜电源控制系统达到医疗级别（设备厂家需提供医疗级电源相关知识产权证明）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▲3.1.1.6</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标签连接线缆全部采用阻燃材料，性能≥</w:t>
            </w:r>
            <w:r>
              <w:rPr>
                <w:color w:val="000000" w:themeColor="text1"/>
                <w14:textFill>
                  <w14:solidFill>
                    <w14:schemeClr w14:val="tx1"/>
                  </w14:solidFill>
                </w14:textFill>
              </w:rPr>
              <w:t>B1级，符合GB 8624-2012 B1级的规定要求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3.1.1.7</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设备采用</w:t>
            </w:r>
            <w:r>
              <w:rPr>
                <w:rFonts w:ascii="Times New Roman" w:hAnsi="Times New Roman" w:cs="Times New Roman"/>
                <w:color w:val="000000" w:themeColor="text1"/>
                <w14:textFill>
                  <w14:solidFill>
                    <w14:schemeClr w14:val="tx1"/>
                  </w14:solidFill>
                </w14:textFill>
              </w:rPr>
              <w:t>Windows</w:t>
            </w:r>
            <w:r>
              <w:rPr>
                <w:color w:val="000000" w:themeColor="text1"/>
                <w14:textFill>
                  <w14:solidFill>
                    <w14:schemeClr w14:val="tx1"/>
                  </w14:solidFill>
                </w14:textFill>
              </w:rPr>
              <w:t>操作系统，外置显示屏</w:t>
            </w:r>
            <w:r>
              <w:rPr>
                <w:rFonts w:hint="eastAsia"/>
                <w:color w:val="000000" w:themeColor="text1"/>
                <w14:textFill>
                  <w14:solidFill>
                    <w14:schemeClr w14:val="tx1"/>
                  </w14:solidFill>
                </w14:textFill>
              </w:rPr>
              <w:t>尺寸</w:t>
            </w:r>
            <w:r>
              <w:rPr>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21</w:t>
            </w:r>
            <w:r>
              <w:rPr>
                <w:color w:val="000000" w:themeColor="text1"/>
                <w14:textFill>
                  <w14:solidFill>
                    <w14:schemeClr w14:val="tx1"/>
                  </w14:solidFill>
                </w14:textFill>
              </w:rPr>
              <w:t>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提供主控屏幕的技术规格书</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3.1.1.8</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配备非接触式的鉴权方式：支持戴口罩状态的人脸识别，同时备有指纹识别、</w:t>
            </w:r>
            <w:r>
              <w:rPr>
                <w:rFonts w:ascii="Times New Roman" w:hAnsi="Times New Roman" w:cs="Times New Roman"/>
                <w:color w:val="000000" w:themeColor="text1"/>
                <w14:textFill>
                  <w14:solidFill>
                    <w14:schemeClr w14:val="tx1"/>
                  </w14:solidFill>
                </w14:textFill>
              </w:rPr>
              <w:t>ID</w:t>
            </w:r>
            <w:r>
              <w:rPr>
                <w:color w:val="000000" w:themeColor="text1"/>
                <w14:textFill>
                  <w14:solidFill>
                    <w14:schemeClr w14:val="tx1"/>
                  </w14:solidFill>
                </w14:textFill>
              </w:rPr>
              <w:t>读写器、</w:t>
            </w:r>
            <w:r>
              <w:rPr>
                <w:rFonts w:ascii="Times New Roman" w:hAnsi="Times New Roman" w:cs="Times New Roman"/>
                <w:color w:val="000000" w:themeColor="text1"/>
                <w14:textFill>
                  <w14:solidFill>
                    <w14:schemeClr w14:val="tx1"/>
                  </w14:solidFill>
                </w14:textFill>
              </w:rPr>
              <w:t>RSA</w:t>
            </w:r>
            <w:r>
              <w:rPr>
                <w:color w:val="000000" w:themeColor="text1"/>
                <w14:textFill>
                  <w14:solidFill>
                    <w14:schemeClr w14:val="tx1"/>
                  </w14:solidFill>
                </w14:textFill>
              </w:rPr>
              <w:t>密码等</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w:t>
            </w:r>
            <w:r>
              <w:rPr>
                <w:color w:val="000000" w:themeColor="text1"/>
                <w14:textFill>
                  <w14:solidFill>
                    <w14:schemeClr w14:val="tx1"/>
                  </w14:solidFill>
                </w14:textFill>
              </w:rPr>
              <w:t>种备用方式。提供各种鉴权方式的指示说明和经国家认可的第三方检测机构出具的检测报告证明认假率≤</w:t>
            </w:r>
            <w:r>
              <w:rPr>
                <w:rFonts w:ascii="Times New Roman" w:hAnsi="Times New Roman" w:cs="Times New Roman"/>
                <w:color w:val="000000" w:themeColor="text1"/>
                <w14:textFill>
                  <w14:solidFill>
                    <w14:schemeClr w14:val="tx1"/>
                  </w14:solidFill>
                </w14:textFill>
              </w:rPr>
              <w:t>0.001%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拒真率≤</w:t>
            </w:r>
            <w:r>
              <w:rPr>
                <w:rFonts w:ascii="Times New Roman" w:hAnsi="Times New Roman" w:cs="Times New Roman"/>
                <w:color w:val="000000" w:themeColor="text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3.1.1.9</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rFonts w:ascii="仿宋" w:hAnsi="仿宋"/>
                <w:color w:val="000000" w:themeColor="text1"/>
                <w:kern w:val="22"/>
                <w:sz w:val="24"/>
                <w:szCs w:val="24"/>
                <w14:textFill>
                  <w14:solidFill>
                    <w14:schemeClr w14:val="tx1"/>
                  </w14:solidFill>
                </w14:textFill>
              </w:rPr>
            </w:pPr>
            <w:r>
              <w:rPr>
                <w:rFonts w:hint="eastAsia"/>
                <w:color w:val="000000" w:themeColor="text1"/>
                <w14:textFill>
                  <w14:solidFill>
                    <w14:schemeClr w14:val="tx1"/>
                  </w14:solidFill>
                </w14:textFill>
              </w:rPr>
              <w:t>支持带有原包装盒药品与拆零药品的同位存储，药品整盒或者拆零取用时，药柜系统会自动区分是否带药品包装盒取出，并在操作显示屏实时显示已取药盒数量及药品数量，精准计数（需提供经国家认可的第三方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3.1.1.10</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储药格采用抑菌、避光防腐材质，一体化成型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3.1.1.11</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支持全剂型存储。储药格可整层抽出，可根据应用场景定制格口大小，也支持各类剂型中包装和小包装存储（提供储存容器的实物照片和经国家认可的第三方检测机构出具的检测报告）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每个储药格均标配≥</w:t>
            </w:r>
            <w:r>
              <w:rPr>
                <w:rFonts w:ascii="Times New Roman" w:hAnsi="Times New Roman" w:cs="Times New Roman"/>
                <w:color w:val="000000" w:themeColor="text1"/>
                <w14:textFill>
                  <w14:solidFill>
                    <w14:schemeClr w14:val="tx1"/>
                  </w14:solidFill>
                </w14:textFill>
              </w:rPr>
              <w:t>2.0</w:t>
            </w:r>
            <w:r>
              <w:rPr>
                <w:color w:val="000000" w:themeColor="text1"/>
                <w14:textFill>
                  <w14:solidFill>
                    <w14:schemeClr w14:val="tx1"/>
                  </w14:solidFill>
                </w14:textFill>
              </w:rPr>
              <w:t>寸智能电子标签，可显示</w:t>
            </w:r>
            <w:r>
              <w:rPr>
                <w:rFonts w:hint="eastAsia"/>
                <w:color w:val="000000" w:themeColor="text1"/>
                <w14:textFill>
                  <w14:solidFill>
                    <w14:schemeClr w14:val="tx1"/>
                  </w14:solidFill>
                </w14:textFill>
              </w:rPr>
              <w:t>包含但不限于</w:t>
            </w:r>
            <w:r>
              <w:rPr>
                <w:color w:val="000000" w:themeColor="text1"/>
                <w14:textFill>
                  <w14:solidFill>
                    <w14:schemeClr w14:val="tx1"/>
                  </w14:solidFill>
                </w14:textFill>
              </w:rPr>
              <w:t>药品名称、批号、生产厂家、效期等信息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智能电子标签集成触控按钮，具有灯光指示功能，显示屏与层板内嵌式一体设计，不影响补药、取药操作。显示指引响应时间</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0.3</w:t>
            </w:r>
            <w:r>
              <w:rPr>
                <w:color w:val="000000" w:themeColor="text1"/>
                <w14:textFill>
                  <w14:solidFill>
                    <w14:schemeClr w14:val="tx1"/>
                  </w14:solidFill>
                </w14:textFill>
              </w:rPr>
              <w:t>秒</w:t>
            </w:r>
            <w:r>
              <w:rPr>
                <w:rFonts w:hint="eastAsia"/>
                <w:color w:val="000000" w:themeColor="text1"/>
                <w14:textFill>
                  <w14:solidFill>
                    <w14:schemeClr w14:val="tx1"/>
                  </w14:solidFill>
                </w14:textFill>
              </w:rPr>
              <w:t>（提供投标产品实物图并详细说明）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▲3.1.1.13</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单台设备标准存储药品品种数≥</w:t>
            </w:r>
            <w:r>
              <w:rPr>
                <w:rFonts w:ascii="Times New Roman" w:hAnsi="Times New Roman" w:cs="Times New Roman"/>
                <w:color w:val="000000" w:themeColor="text1"/>
                <w14:textFill>
                  <w14:solidFill>
                    <w14:schemeClr w14:val="tx1"/>
                  </w14:solidFill>
                </w14:textFill>
              </w:rPr>
              <w:t>48</w:t>
            </w:r>
            <w:r>
              <w:rPr>
                <w:color w:val="000000" w:themeColor="text1"/>
                <w14:textFill>
                  <w14:solidFill>
                    <w14:schemeClr w14:val="tx1"/>
                  </w14:solidFill>
                </w14:textFill>
              </w:rPr>
              <w:t>种，可根据应用场景定制格口大小。药格均采用智能药柜计数装置，</w:t>
            </w:r>
            <w:r>
              <w:rPr>
                <w:rFonts w:hint="eastAsia"/>
                <w:color w:val="000000" w:themeColor="text1"/>
                <w14:textFill>
                  <w14:solidFill>
                    <w14:schemeClr w14:val="tx1"/>
                  </w14:solidFill>
                </w14:textFill>
              </w:rPr>
              <w:t>可实现</w:t>
            </w:r>
            <w:r>
              <w:rPr>
                <w:color w:val="000000" w:themeColor="text1"/>
                <w14:textFill>
                  <w14:solidFill>
                    <w14:schemeClr w14:val="tx1"/>
                  </w14:solidFill>
                </w14:textFill>
              </w:rPr>
              <w:t>设备存取药品包括针剂药品的实时监测计数。</w:t>
            </w:r>
            <w:r>
              <w:rPr>
                <w:rFonts w:hint="eastAsia"/>
                <w:color w:val="000000" w:themeColor="text1"/>
                <w14:textFill>
                  <w14:solidFill>
                    <w14:schemeClr w14:val="tx1"/>
                  </w14:solidFill>
                </w14:textFill>
              </w:rPr>
              <w:t>采用</w:t>
            </w:r>
            <w:r>
              <w:rPr>
                <w:color w:val="000000" w:themeColor="text1"/>
                <w14:textFill>
                  <w14:solidFill>
                    <w14:schemeClr w14:val="tx1"/>
                  </w14:solidFill>
                </w14:textFill>
              </w:rPr>
              <w:t>智能</w:t>
            </w:r>
            <w:r>
              <w:rPr>
                <w:rFonts w:ascii="Times New Roman" w:hAnsi="Times New Roman" w:cs="Times New Roman"/>
                <w:color w:val="000000" w:themeColor="text1"/>
                <w14:textFill>
                  <w14:solidFill>
                    <w14:schemeClr w14:val="tx1"/>
                  </w14:solidFill>
                </w14:textFill>
              </w:rPr>
              <w:t>AI</w:t>
            </w:r>
            <w:r>
              <w:rPr>
                <w:color w:val="000000" w:themeColor="text1"/>
                <w14:textFill>
                  <w14:solidFill>
                    <w14:schemeClr w14:val="tx1"/>
                  </w14:solidFill>
                </w14:textFill>
              </w:rPr>
              <w:t>感测方式，非单一重力感应计数。需提供经国家认可的第三方检测机构出具的检测报告证明计数准确率≥</w:t>
            </w:r>
            <w:r>
              <w:rPr>
                <w:rFonts w:ascii="Times New Roman" w:hAnsi="Times New Roman" w:cs="Times New Roman"/>
                <w:color w:val="000000" w:themeColor="text1"/>
                <w14:textFill>
                  <w14:solidFill>
                    <w14:schemeClr w14:val="tx1"/>
                  </w14:solidFill>
                </w14:textFill>
              </w:rPr>
              <w:t>99.99%</w:t>
            </w:r>
            <w:r>
              <w:rPr>
                <w:color w:val="000000" w:themeColor="text1"/>
                <w14:textFill>
                  <w14:solidFill>
                    <w14:schemeClr w14:val="tx1"/>
                  </w14:solidFill>
                </w14:textFill>
              </w:rPr>
              <w:t>，响应速度≤</w:t>
            </w:r>
            <w:r>
              <w:rPr>
                <w:rFonts w:ascii="Times New Roman" w:hAnsi="Times New Roman" w:cs="Times New Roman"/>
                <w:color w:val="000000" w:themeColor="text1"/>
                <w14:textFill>
                  <w14:solidFill>
                    <w14:schemeClr w14:val="tx1"/>
                  </w14:solidFill>
                </w14:textFill>
              </w:rPr>
              <w:t>0.3</w:t>
            </w:r>
            <w:r>
              <w:rPr>
                <w:color w:val="000000" w:themeColor="text1"/>
                <w14:textFill>
                  <w14:solidFill>
                    <w14:schemeClr w14:val="tx1"/>
                  </w14:solidFill>
                </w14:textFill>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3.1.1.14</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具有温度、湿度自动采集功能，软件界面配置有专用显示屏，可实时监测显示柜内温度值、湿度值。温度采集误差值≤</w:t>
            </w:r>
            <w:r>
              <w:rPr>
                <w:rFonts w:ascii="Times New Roman" w:hAnsi="Times New Roman" w:cs="Times New Roman"/>
                <w:color w:val="000000" w:themeColor="text1"/>
                <w14:textFill>
                  <w14:solidFill>
                    <w14:schemeClr w14:val="tx1"/>
                  </w14:solidFill>
                </w14:textFill>
              </w:rPr>
              <w:t>0.3</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，湿度误差值</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3%rh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可</w:t>
            </w:r>
            <w:r>
              <w:rPr>
                <w:color w:val="000000" w:themeColor="text1"/>
                <w14:textFill>
                  <w14:solidFill>
                    <w14:schemeClr w14:val="tx1"/>
                  </w14:solidFill>
                </w14:textFill>
              </w:rPr>
              <w:t>通过软件实时查看获取设备温、湿度信息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3.1.1.15</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配置智能锁和机械锁双人双锁，符合麻精药品五专管理中专人专柜的管理要求，根据系统的分级授权管理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3.1.1.16</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配置应急锁装置，在紧急状态下用钥匙开锁，使用应急开关开门取药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3.1.1.17</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出现存取药品品种、数量与系统数据不符时，可通过电子标签标红、软件页面标红及语音提醒等≥</w:t>
            </w:r>
            <w:r>
              <w:rPr>
                <w:rFonts w:ascii="Times New Roman" w:hAnsi="Times New Roman" w:cs="Times New Roman"/>
                <w:color w:val="000000" w:themeColor="text1"/>
                <w14:textFill>
                  <w14:solidFill>
                    <w14:schemeClr w14:val="tx1"/>
                  </w14:solidFill>
                </w14:textFill>
              </w:rPr>
              <w:t>3</w:t>
            </w:r>
            <w:r>
              <w:rPr>
                <w:color w:val="000000" w:themeColor="text1"/>
                <w14:textFill>
                  <w14:solidFill>
                    <w14:schemeClr w14:val="tx1"/>
                  </w14:solidFill>
                </w14:textFill>
              </w:rPr>
              <w:t>种方式进行防错提醒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需提供经国家认可的第三方检测机构出具的检测报告</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3.1.1.18</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配置高清视频监控装置，监控角度、存储时间可按需设置，可</w:t>
            </w:r>
            <w:r>
              <w:rPr>
                <w:rFonts w:ascii="Times New Roman" w:hAnsi="Times New Roman" w:cs="Times New Roman"/>
                <w:color w:val="000000" w:themeColor="text1"/>
                <w14:textFill>
                  <w14:solidFill>
                    <w14:schemeClr w14:val="tx1"/>
                  </w14:solidFill>
                </w14:textFill>
              </w:rPr>
              <w:t>24</w:t>
            </w:r>
            <w:r>
              <w:rPr>
                <w:color w:val="000000" w:themeColor="text1"/>
                <w14:textFill>
                  <w14:solidFill>
                    <w14:schemeClr w14:val="tx1"/>
                  </w14:solidFill>
                </w14:textFill>
              </w:rPr>
              <w:t>小时不间断动态监控，系统</w:t>
            </w:r>
            <w:r>
              <w:rPr>
                <w:rFonts w:hint="eastAsia"/>
                <w:color w:val="000000" w:themeColor="text1"/>
                <w14:textFill>
                  <w14:solidFill>
                    <w14:schemeClr w14:val="tx1"/>
                  </w14:solidFill>
                </w14:textFill>
              </w:rPr>
              <w:t>可</w:t>
            </w:r>
            <w:r>
              <w:rPr>
                <w:color w:val="000000" w:themeColor="text1"/>
                <w14:textFill>
                  <w14:solidFill>
                    <w14:schemeClr w14:val="tx1"/>
                  </w14:solidFill>
                </w14:textFill>
              </w:rPr>
              <w:t>按照指定时间、取药记录的事件进行定点视频回放，提供软件运行界面实拍证明，</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对特定麻精药品存取记录追溯查询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监控视频存储时间</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180</w:t>
            </w:r>
            <w:r>
              <w:rPr>
                <w:color w:val="000000" w:themeColor="text1"/>
                <w14:textFill>
                  <w14:solidFill>
                    <w14:schemeClr w14:val="tx1"/>
                  </w14:solidFill>
                </w14:textFill>
              </w:rPr>
              <w:t>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视频监控系统与药柜管理系统集成，可按医院要求接入院内安防系统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需提供经国家认可的第三方检测机构出具的检测报告</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3.1.1.19</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集成监控功能：在残余液处理的过程中，麻醉师进行系统登记、视频留痕，并自动生成残余液处理登记表（需提供软件操作界面截图和经国家认可的第三方检测机构出具的检测报告）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▲3.1.1.20</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温控管理：配置一层温控抽屉，采用无霜风冷精确温控技术，温度范围</w:t>
            </w:r>
            <w:r>
              <w:rPr>
                <w:rFonts w:ascii="Times New Roman" w:hAnsi="Times New Roman" w:cs="Times New Roman"/>
                <w:color w:val="000000" w:themeColor="text1"/>
                <w14:textFill>
                  <w14:solidFill>
                    <w14:schemeClr w14:val="tx1"/>
                  </w14:solidFill>
                </w14:textFill>
              </w:rPr>
              <w:t>2-20</w:t>
            </w:r>
            <w:r>
              <w:rPr>
                <w:rFonts w:cs="Times New Roman"/>
                <w:color w:val="000000" w:themeColor="text1"/>
                <w14:textFill>
                  <w14:solidFill>
                    <w14:schemeClr w14:val="tx1"/>
                  </w14:solidFill>
                </w14:textFill>
              </w:rPr>
              <w:t>℃</w:t>
            </w:r>
            <w:r>
              <w:rPr>
                <w:color w:val="000000" w:themeColor="text1"/>
                <w14:textFill>
                  <w14:solidFill>
                    <w14:schemeClr w14:val="tx1"/>
                  </w14:solidFill>
                </w14:textFill>
              </w:rPr>
              <w:t>可调。温控抽屉由</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6</w:t>
            </w:r>
            <w:r>
              <w:rPr>
                <w:color w:val="000000" w:themeColor="text1"/>
                <w14:textFill>
                  <w14:solidFill>
                    <w14:schemeClr w14:val="tx1"/>
                  </w14:solidFill>
                </w14:textFill>
              </w:rPr>
              <w:t>个智能温控储位组成，每个储位容量≥</w:t>
            </w:r>
            <w:r>
              <w:rPr>
                <w:rFonts w:ascii="Times New Roman" w:hAnsi="Times New Roman" w:cs="Times New Roman"/>
                <w:color w:val="000000" w:themeColor="text1"/>
                <w14:textFill>
                  <w14:solidFill>
                    <w14:schemeClr w14:val="tx1"/>
                  </w14:solidFill>
                </w14:textFill>
              </w:rPr>
              <w:t>1.0L</w:t>
            </w:r>
            <w:r>
              <w:rPr>
                <w:color w:val="000000" w:themeColor="text1"/>
                <w14:textFill>
                  <w14:solidFill>
                    <w14:schemeClr w14:val="tx1"/>
                  </w14:solidFill>
                </w14:textFill>
              </w:rPr>
              <w:t>，可存放药品种类</w:t>
            </w:r>
            <w:r>
              <w:rPr>
                <w:rFonts w:hint="eastAs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6</w:t>
            </w:r>
            <w:r>
              <w:rPr>
                <w:color w:val="000000" w:themeColor="text1"/>
                <w14:textFill>
                  <w14:solidFill>
                    <w14:schemeClr w14:val="tx1"/>
                  </w14:solidFill>
                </w14:textFill>
              </w:rPr>
              <w:t>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提供整机实物照片</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3.1.1.21</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设备配备紧急电源，具有自动稳压、宽输入电压、浪涌保护等功能，断电后可持续工作时间≥</w:t>
            </w:r>
            <w:r>
              <w:rPr>
                <w:rFonts w:ascii="Times New Roman" w:hAnsi="Times New Roman" w:cs="Times New Roman"/>
                <w:color w:val="000000" w:themeColor="text1"/>
                <w14:textFill>
                  <w14:solidFill>
                    <w14:schemeClr w14:val="tx1"/>
                  </w14:solidFill>
                </w14:textFill>
              </w:rPr>
              <w:t>30</w:t>
            </w:r>
            <w:r>
              <w:rPr>
                <w:color w:val="000000" w:themeColor="text1"/>
                <w14:textFill>
                  <w14:solidFill>
                    <w14:schemeClr w14:val="tx1"/>
                  </w14:solidFill>
                </w14:textFill>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可根据科室需求定制化设计空瓶回收存储单位，根据药品的品名、规格进行分类回收，存储位可自动记录数量。存储位应同样配备电子标签，显示空瓶的品名、批号、效期、数量等信息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3.1.1.23</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柜内配有电子标签控制器，保证柜内电子标签数据快速安全稳定交互（需提供</w:t>
            </w:r>
            <w:r>
              <w:rPr>
                <w:rFonts w:ascii="Times New Roman" w:hAnsi="Times New Roman" w:cs="Times New Roman"/>
                <w:color w:val="000000" w:themeColor="text1"/>
                <w14:textFill>
                  <w14:solidFill>
                    <w14:schemeClr w14:val="tx1"/>
                  </w14:solidFill>
                </w14:textFill>
              </w:rPr>
              <w:t>CE</w:t>
            </w:r>
            <w:r>
              <w:rPr>
                <w:rFonts w:asci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FCC</w:t>
            </w:r>
            <w:r>
              <w:rPr>
                <w:rFonts w:asci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ETL</w:t>
            </w:r>
            <w:r>
              <w:rPr>
                <w:color w:val="000000" w:themeColor="text1"/>
                <w14:textFill>
                  <w14:solidFill>
                    <w14:schemeClr w14:val="tx1"/>
                  </w14:solidFill>
                </w14:textFill>
              </w:rPr>
              <w:t>等认证证书</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麻精药品管理系统要求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3.1.2.1</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兼容性：可无缝衔接院内的</w:t>
            </w:r>
            <w:r>
              <w:rPr>
                <w:rFonts w:ascii="Times New Roman" w:hAnsi="Times New Roman" w:cs="Times New Roman"/>
                <w:color w:val="000000" w:themeColor="text1"/>
                <w14:textFill>
                  <w14:solidFill>
                    <w14:schemeClr w14:val="tx1"/>
                  </w14:solidFill>
                </w14:textFill>
              </w:rPr>
              <w:t>SPD</w:t>
            </w:r>
            <w:r>
              <w:rPr>
                <w:rFonts w:asci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HIS</w:t>
            </w:r>
            <w:r>
              <w:rPr>
                <w:color w:val="000000" w:themeColor="text1"/>
                <w14:textFill>
                  <w14:solidFill>
                    <w14:schemeClr w14:val="tx1"/>
                  </w14:solidFill>
                </w14:textFill>
              </w:rPr>
              <w:t>等医院信息系统，平台程序通过分布式服务架构，可灵活部署到多个服务器中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所有业务模块可依次接入平台架构，支持多种接口方式，并可定制，实现药品的信息化监管，</w:t>
            </w:r>
            <w:r>
              <w:rPr>
                <w:rFonts w:hint="eastAsia"/>
                <w:color w:val="000000" w:themeColor="text1"/>
                <w14:textFill>
                  <w14:solidFill>
                    <w14:schemeClr w14:val="tx1"/>
                  </w14:solidFill>
                </w14:textFill>
              </w:rPr>
              <w:t>需</w:t>
            </w:r>
            <w:r>
              <w:rPr>
                <w:color w:val="000000" w:themeColor="text1"/>
                <w14:textFill>
                  <w14:solidFill>
                    <w14:schemeClr w14:val="tx1"/>
                  </w14:solidFill>
                </w14:textFill>
              </w:rPr>
              <w:t>提供相应的接口升级服务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电子签名：系统收集电子签名，绑定对应权限人员，在进行取药、补药、盘点等操作系统时，会自动与该条记录绑定，将电子签名附在表格中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为实现麻精药品五专要求的专账登记，要求支持药品的多批号取、用、还信息自动记录并保证账实一致性。对于麻醉药品和精神一类药品的空瓶回收，实现批号自动登记记录，并支持信息查询和打印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支持根据用药情况，将药品在柜内药格中的位置进行灵活调整，系统动态分配空闲药格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当药品用量过大，一个格口无法满足药品放置时，可关联多个格口同时放置药品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支持按医嘱</w:t>
            </w:r>
            <w:r>
              <w:rPr>
                <w:color w:val="000000" w:themeColor="text1"/>
                <w14:textFill>
                  <w14:solidFill>
                    <w14:schemeClr w14:val="tx1"/>
                  </w14:solidFill>
                </w14:textFill>
              </w:rPr>
              <w:t>/处方取药：医嘱/处方按照用药时间排序显示,支持选择近期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半个月、</w:t>
            </w:r>
            <w:r>
              <w:rPr>
                <w:rFonts w:ascii="Times New Roman" w:hAnsi="Times New Roman" w:cs="Times New Roman"/>
                <w:color w:val="000000" w:themeColor="text1"/>
                <w14:textFill>
                  <w14:solidFill>
                    <w14:schemeClr w14:val="tx1"/>
                  </w14:solidFill>
                </w14:textFill>
              </w:rPr>
              <w:t>1</w:t>
            </w:r>
            <w:r>
              <w:rPr>
                <w:color w:val="000000" w:themeColor="text1"/>
                <w14:textFill>
                  <w14:solidFill>
                    <w14:schemeClr w14:val="tx1"/>
                  </w14:solidFill>
                </w14:textFill>
              </w:rPr>
              <w:t>个月、</w:t>
            </w:r>
            <w:r>
              <w:rPr>
                <w:rFonts w:ascii="Times New Roman" w:hAnsi="Times New Roman" w:cs="Times New Roman"/>
                <w:color w:val="000000" w:themeColor="text1"/>
                <w14:textFill>
                  <w14:solidFill>
                    <w14:schemeClr w14:val="tx1"/>
                  </w14:solidFill>
                </w14:textFill>
              </w:rPr>
              <w:t>2</w:t>
            </w:r>
            <w:r>
              <w:rPr>
                <w:color w:val="000000" w:themeColor="text1"/>
                <w14:textFill>
                  <w14:solidFill>
                    <w14:schemeClr w14:val="tx1"/>
                  </w14:solidFill>
                </w14:textFill>
              </w:rPr>
              <w:t>个月</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。默认显示当天处方</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7</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支持医护人员按照退药医嘱</w:t>
            </w:r>
            <w:r>
              <w:rPr>
                <w:color w:val="000000" w:themeColor="text1"/>
                <w14:textFill>
                  <w14:solidFill>
                    <w14:schemeClr w14:val="tx1"/>
                  </w14:solidFill>
                </w14:textFill>
              </w:rPr>
              <w:t>/处方进行退药操作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8</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支持双人身份鉴权管理，满足麻精药品五专管理，需双重身份验证通过且有相应权限才可开启柜门，针对不同种类的药品可进行分级授权管控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9</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交接班：可实现人员权限交接，系统可一键盘点库存，盘点无误后自动生成附有电子签名的电子交接班报表，报表保存≥</w:t>
            </w:r>
            <w:r>
              <w:rPr>
                <w:rFonts w:ascii="Times New Roman" w:hAnsi="Times New Roman" w:cs="Times New Roman"/>
                <w:color w:val="000000" w:themeColor="text1"/>
                <w14:textFill>
                  <w14:solidFill>
                    <w14:schemeClr w14:val="tx1"/>
                  </w14:solidFill>
                </w14:textFill>
              </w:rPr>
              <w:t>5</w:t>
            </w:r>
            <w:r>
              <w:rPr>
                <w:rFonts w:hint="eastAsia"/>
                <w:color w:val="000000" w:themeColor="text1"/>
                <w14:textFill>
                  <w14:solidFill>
                    <w14:schemeClr w14:val="tx1"/>
                  </w14:solidFill>
                </w14:textFill>
              </w:rPr>
              <w:t>年，支持随时调取并导出打印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.10</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依据用药消耗以及药品高、低库存数量设置，可向上级库生成相应的补药申请单，支持对补药申请单进行审核操作，支持对接医院信息系统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1</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紧急取药：授权人员可根据药名取药，系统自动记录取药信息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手术取药：根据病人情况进行取药，用药完成后可通过</w:t>
            </w:r>
            <w:r>
              <w:rPr>
                <w:rFonts w:ascii="Times New Roman" w:hAnsi="Times New Roman" w:cs="Times New Roman"/>
                <w:color w:val="000000" w:themeColor="text1"/>
                <w14:textFill>
                  <w14:solidFill>
                    <w14:schemeClr w14:val="tx1"/>
                  </w14:solidFill>
                </w14:textFill>
              </w:rPr>
              <w:t>HIS</w:t>
            </w:r>
            <w:r>
              <w:rPr>
                <w:color w:val="000000" w:themeColor="text1"/>
                <w14:textFill>
                  <w14:solidFill>
                    <w14:schemeClr w14:val="tx1"/>
                  </w14:solidFill>
                </w14:textFill>
              </w:rPr>
              <w:t>系统接口自动划价，并自动打印红处方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套餐取药：可按药师用药习惯进行设置手术套餐取药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可根据补药清单定位补药位置及补药数量，药格亮灯指引补药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支持临时非清单补药，系统自动提示最近补药的批号效期，并可依据药品以及补药数量，生成补药记录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支持麻精药品的还药，选择患者进行双人确认，自动感测还药数量。还药过程智能指引，还药操作、还药数据自动生成记录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7</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支持依据下级库科室的补药申请单，经审核确认后，生成有效的药品出库单，进行药品出柜发药操作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3.1.2.1</w:t>
            </w:r>
            <w:r>
              <w:rPr>
                <w:rFonts w:hint="eastAsia"/>
                <w:color w:val="000000" w:themeColor="text1"/>
                <w:lang w:val="en-US" w:eastAsia="zh-CN"/>
                <w14:textFill>
                  <w14:solidFill>
                    <w14:schemeClr w14:val="tx1"/>
                  </w14:solidFill>
                </w14:textFill>
              </w:rPr>
              <w:t>8</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可通过麻精药品管理平台实现对所有设备终端内实物的远程盘点（提供软件运行界面实拍证明和经国家认可的第三方检测机构出具的检测报告）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3.1.2.</w:t>
            </w:r>
            <w:r>
              <w:rPr>
                <w:rFonts w:hint="eastAsia"/>
                <w:color w:val="000000" w:themeColor="text1"/>
                <w:lang w:val="en-US" w:eastAsia="zh-CN"/>
                <w14:textFill>
                  <w14:solidFill>
                    <w14:schemeClr w14:val="tx1"/>
                  </w14:solidFill>
                </w14:textFill>
              </w:rPr>
              <w:t>19</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系统监控到实际取出、放入的药品数量与系统要求取出、放入的不一致时，立即报警提示并语音提醒；若强行放取，系统可自动记录操作人员、操作时间、取药、补药方式、需取、需补数量、实际取药、补药数量等信息（提供软件运行界面实拍证明和经国家认可的第三方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0</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如有低库存药品，管理平台可通过图标醒目提醒操作人员及时进行补药请领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1</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近效期预警：智能麻精柜终端或者智能麻精药品管理平台可对近效期药品通过图标以及语音醒目提醒操作人员及时处理（提供软件运行界面实拍证明和经国家认可的第三方检测机构出具的检测报告）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2</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报表查询：通过麻精药品管理平台，可查询取药、补药操作明细数据，可对取药、补药数据进行分层统计，可查询全院药品库存数据信息等，并支持数据导出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3</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通过麻精药品管理平台，可实时监控各个设备终端的医嘱处方执行情况、医嘱用药占比等，可通过饼状图展示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4</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各终端可查看实时监控录像；可根据取药记录进行取药过程回放，支持倍速播放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5</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支持多药格多批号精准管理，也可支持单一药格内多批号管理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noWrap w:val="0"/>
            <w:vAlign w:val="top"/>
          </w:tcPr>
          <w:p>
            <w:pPr>
              <w:jc w:val="righ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3.1.2.2</w:t>
            </w:r>
            <w:r>
              <w:rPr>
                <w:rFonts w:hint="eastAsia"/>
                <w:color w:val="000000" w:themeColor="text1"/>
                <w:lang w:val="en-US" w:eastAsia="zh-CN"/>
                <w14:textFill>
                  <w14:solidFill>
                    <w14:schemeClr w14:val="tx1"/>
                  </w14:solidFill>
                </w14:textFill>
              </w:rPr>
              <w:t>6</w:t>
            </w:r>
          </w:p>
        </w:tc>
        <w:tc>
          <w:tcPr>
            <w:tcW w:w="691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可严格记录取药数量、药品批次等，做到精准“取药留痕”记录。能够自定义报表，生成电子表单，保存时间≥</w:t>
            </w:r>
            <w:r>
              <w:rPr>
                <w:rFonts w:ascii="Times New Roman" w:hAnsi="Times New Roman" w:cs="Times New Roman"/>
                <w:color w:val="000000" w:themeColor="text1"/>
                <w14:textFill>
                  <w14:solidFill>
                    <w14:schemeClr w14:val="tx1"/>
                  </w14:solidFill>
                </w14:textFill>
              </w:rPr>
              <w:t>5</w:t>
            </w:r>
            <w:r>
              <w:rPr>
                <w:rFonts w:hint="eastAsia"/>
                <w:color w:val="000000" w:themeColor="text1"/>
                <w14:textFill>
                  <w14:solidFill>
                    <w14:schemeClr w14:val="tx1"/>
                  </w14:solidFill>
                </w14:textFill>
              </w:rPr>
              <w:t>年，系统支持网络打印机，可以根据需要打印交接班记录、专册登记表、专账登记表、汇总报表等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3.2配置要求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3.2.1</w:t>
            </w:r>
          </w:p>
        </w:tc>
        <w:tc>
          <w:tcPr>
            <w:tcW w:w="703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麻精药品管理柜：1套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noWrap w:val="0"/>
            <w:vAlign w:val="top"/>
          </w:tcPr>
          <w:p>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3.2.2</w:t>
            </w:r>
          </w:p>
        </w:tc>
        <w:tc>
          <w:tcPr>
            <w:tcW w:w="703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contextualSpacing/>
              <w:rPr>
                <w:color w:val="000000" w:themeColor="text1"/>
                <w14:textFill>
                  <w14:solidFill>
                    <w14:schemeClr w14:val="tx1"/>
                  </w14:solidFill>
                </w14:textFill>
              </w:rPr>
            </w:pPr>
            <w:r>
              <w:rPr>
                <w:rFonts w:hint="eastAsia" w:cs="Arial"/>
                <w:color w:val="000000" w:themeColor="text1"/>
                <w14:textFill>
                  <w14:solidFill>
                    <w14:schemeClr w14:val="tx1"/>
                  </w14:solidFill>
                </w14:textFill>
              </w:rPr>
              <w:t>麻精药品管理系统：1套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color w:val="000000" w:themeColor="text1"/>
                <w14:textFill>
                  <w14:solidFill>
                    <w14:schemeClr w14:val="tx1"/>
                  </w14:solidFill>
                </w14:textFill>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2提供用户中英文操作手册、维修手册、技术参数彩色样本及塑封操作规程各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1" w:firstLineChars="100"/>
              <w:rPr>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5.1设备验收合格后免费原厂整机保修</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年，保修期外只收配件费，不收维修费，提供仪器相关</w:t>
            </w:r>
            <w:r>
              <w:rPr>
                <w:rFonts w:hint="eastAsia"/>
                <w:bCs/>
                <w:color w:val="000000" w:themeColor="text1"/>
                <w14:textFill>
                  <w14:solidFill>
                    <w14:schemeClr w14:val="tx1"/>
                  </w14:solidFill>
                </w14:textFill>
              </w:rPr>
              <w:t>专用耗材、</w:t>
            </w:r>
            <w:r>
              <w:rPr>
                <w:rFonts w:hint="eastAsia"/>
                <w:color w:val="000000" w:themeColor="text1"/>
                <w14:textFill>
                  <w14:solidFill>
                    <w14:schemeClr w14:val="tx1"/>
                  </w14:solidFill>
                </w14:textFill>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5.4免费提供至少2名操作人员和1名维修人员的培训。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5.5免费终身提供软件升级。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6.1到货期：合同生效后，60天内供货并安装。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6.3验收标准：应与产品原始样本技术数据及标书技术文件一致，符合国家有关技术规范和技术标准，并提供所有有效证件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noWrap w:val="0"/>
            <w:vAlign w:val="top"/>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pStyle w:val="34"/>
        <w:rPr>
          <w:rFonts w:hint="eastAsia" w:ascii="仿宋" w:hAnsi="仿宋" w:eastAsia="仿宋" w:cs="仿宋"/>
          <w:b/>
          <w:color w:val="000000" w:themeColor="text1"/>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pPr>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（货物类）</w:t>
      </w:r>
    </w:p>
    <w:p>
      <w:pPr>
        <w:pStyle w:val="702"/>
        <w:ind w:left="0" w:leftChars="0" w:firstLine="0" w:firstLineChars="0"/>
        <w:rPr>
          <w:rFonts w:hint="eastAsia" w:ascii="仿宋" w:hAnsi="仿宋" w:eastAsia="仿宋" w:cs="仿宋"/>
          <w:color w:val="000000" w:themeColor="text1"/>
          <w:szCs w:val="24"/>
          <w:highlight w:val="none"/>
          <w14:textFill>
            <w14:solidFill>
              <w14:schemeClr w14:val="tx1"/>
            </w14:solidFill>
          </w14:textFill>
        </w:rPr>
      </w:pPr>
    </w:p>
    <w:p>
      <w:pPr>
        <w:pStyle w:val="702"/>
        <w:jc w:val="center"/>
        <w:rPr>
          <w:rFonts w:hint="eastAsia" w:ascii="仿宋" w:hAnsi="仿宋" w:eastAsia="仿宋" w:cs="仿宋"/>
          <w:color w:val="000000" w:themeColor="text1"/>
          <w:szCs w:val="24"/>
          <w:highlight w:val="none"/>
          <w14:textFill>
            <w14:solidFill>
              <w14:schemeClr w14:val="tx1"/>
            </w14:solidFill>
          </w14:textFill>
        </w:rPr>
      </w:pPr>
    </w:p>
    <w:p>
      <w:pPr>
        <w:pStyle w:val="702"/>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pPr>
        <w:pStyle w:val="702"/>
        <w:rPr>
          <w:rFonts w:hint="eastAsia" w:ascii="仿宋" w:hAnsi="仿宋" w:eastAsia="仿宋" w:cs="仿宋"/>
          <w:color w:val="000000" w:themeColor="text1"/>
          <w:szCs w:val="24"/>
          <w:highlight w:val="none"/>
          <w14:textFill>
            <w14:solidFill>
              <w14:schemeClr w14:val="tx1"/>
            </w14:solidFill>
          </w14:textFill>
        </w:rPr>
      </w:pPr>
    </w:p>
    <w:p>
      <w:pPr>
        <w:pStyle w:val="702"/>
        <w:rPr>
          <w:rFonts w:hint="eastAsia" w:ascii="仿宋" w:hAnsi="仿宋" w:eastAsia="仿宋" w:cs="仿宋"/>
          <w:color w:val="000000" w:themeColor="text1"/>
          <w:szCs w:val="24"/>
          <w:highlight w:val="none"/>
          <w14:textFill>
            <w14:solidFill>
              <w14:schemeClr w14:val="tx1"/>
            </w14:solidFill>
          </w14:textFill>
        </w:rPr>
      </w:pP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pStyle w:val="599"/>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pPr>
        <w:pStyle w:val="599"/>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（项目名称、编号）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1" w:name="_Toc3029"/>
      <w:bookmarkStart w:id="42" w:name="_Toc2232"/>
      <w:bookmarkStart w:id="43" w:name="_Toc24059"/>
      <w:r>
        <w:rPr>
          <w:rFonts w:hint="eastAsia" w:ascii="仿宋" w:hAnsi="仿宋" w:eastAsia="仿宋" w:cs="仿宋"/>
          <w:b/>
          <w:color w:val="000000" w:themeColor="text1"/>
          <w:sz w:val="24"/>
          <w:highlight w:val="none"/>
          <w14:textFill>
            <w14:solidFill>
              <w14:schemeClr w14:val="tx1"/>
            </w14:solidFill>
          </w14:textFill>
        </w:rPr>
        <w:t>1.1 合同组成部分</w:t>
      </w:r>
      <w:bookmarkEnd w:id="41"/>
      <w:bookmarkEnd w:id="42"/>
      <w:bookmarkEnd w:id="4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4" w:name="_Toc21295"/>
      <w:bookmarkStart w:id="45" w:name="_Toc27126"/>
      <w:bookmarkStart w:id="46" w:name="_Toc24300"/>
      <w:r>
        <w:rPr>
          <w:rFonts w:hint="eastAsia" w:ascii="仿宋" w:hAnsi="仿宋" w:eastAsia="仿宋" w:cs="仿宋"/>
          <w:b/>
          <w:color w:val="000000" w:themeColor="text1"/>
          <w:sz w:val="24"/>
          <w:highlight w:val="none"/>
          <w14:textFill>
            <w14:solidFill>
              <w14:schemeClr w14:val="tx1"/>
            </w14:solidFill>
          </w14:textFill>
        </w:rPr>
        <w:t>1.2 货物</w:t>
      </w:r>
      <w:bookmarkEnd w:id="44"/>
      <w:bookmarkEnd w:id="45"/>
      <w:bookmarkEnd w:id="46"/>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货物质量：</w:t>
      </w:r>
      <w:r>
        <w:rPr>
          <w:rFonts w:hint="eastAsia" w:ascii="仿宋" w:hAnsi="仿宋" w:eastAsia="仿宋" w:cs="仿宋"/>
          <w:color w:val="000000" w:themeColor="text1"/>
          <w:sz w:val="24"/>
          <w:highlight w:val="none"/>
          <w:u w:val="single"/>
          <w14:textFill>
            <w14:solidFill>
              <w14:schemeClr w14:val="tx1"/>
            </w14:solidFill>
          </w14:textFill>
        </w:rPr>
        <w:t>　　　　　　　　　                      　      ；</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47" w:name="_Toc21551"/>
      <w:bookmarkStart w:id="48" w:name="_Toc21631"/>
      <w:bookmarkStart w:id="49" w:name="_Toc23292"/>
      <w:r>
        <w:rPr>
          <w:rFonts w:hint="eastAsia" w:ascii="仿宋" w:hAnsi="仿宋" w:eastAsia="仿宋" w:cs="仿宋"/>
          <w:b/>
          <w:color w:val="000000" w:themeColor="text1"/>
          <w:sz w:val="24"/>
          <w:highlight w:val="none"/>
          <w14:textFill>
            <w14:solidFill>
              <w14:schemeClr w14:val="tx1"/>
            </w14:solidFill>
          </w14:textFill>
        </w:rPr>
        <w:t>1.3 价款</w:t>
      </w:r>
      <w:bookmarkEnd w:id="47"/>
      <w:bookmarkEnd w:id="48"/>
      <w:bookmarkEnd w:id="49"/>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highlight w:val="none"/>
                <w14:textFill>
                  <w14:solidFill>
                    <w14:schemeClr w14:val="tx1"/>
                  </w14:solidFill>
                </w14:textFill>
              </w:rPr>
            </w:pPr>
          </w:p>
        </w:tc>
      </w:tr>
    </w:tbl>
    <w:p>
      <w:pPr>
        <w:pStyle w:val="959"/>
        <w:spacing w:before="0" w:beforeAutospacing="0" w:after="0" w:afterAutospacing="0" w:line="360" w:lineRule="auto"/>
        <w:ind w:firstLine="480"/>
        <w:rPr>
          <w:rFonts w:hint="eastAsia" w:ascii="仿宋" w:hAnsi="仿宋" w:eastAsia="仿宋" w:cs="仿宋"/>
          <w:b/>
          <w:color w:val="000000" w:themeColor="text1"/>
          <w:highlight w:val="none"/>
          <w14:textFill>
            <w14:solidFill>
              <w14:schemeClr w14:val="tx1"/>
            </w14:solidFill>
          </w14:textFill>
        </w:rPr>
      </w:pPr>
      <w:bookmarkStart w:id="50" w:name="_Toc10340"/>
      <w:bookmarkStart w:id="51" w:name="_Toc1814"/>
      <w:bookmarkStart w:id="52" w:name="_Toc22618"/>
      <w:r>
        <w:rPr>
          <w:rFonts w:hint="eastAsia" w:ascii="仿宋" w:hAnsi="仿宋" w:eastAsia="仿宋" w:cs="仿宋"/>
          <w:b/>
          <w:color w:val="000000" w:themeColor="text1"/>
          <w:highlight w:val="none"/>
          <w14:textFill>
            <w14:solidFill>
              <w14:schemeClr w14:val="tx1"/>
            </w14:solidFill>
          </w14:textFill>
        </w:rPr>
        <w:t>1.4履约保证金</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spacing w:line="560" w:lineRule="exact"/>
        <w:ind w:firstLine="480" w:firstLineChars="200"/>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pStyle w:val="4"/>
        <w:tabs>
          <w:tab w:val="clear" w:pos="432"/>
        </w:tabs>
        <w:spacing w:line="560" w:lineRule="exact"/>
        <w:ind w:left="0" w:firstLine="480" w:firstLineChars="200"/>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50"/>
      <w:bookmarkEnd w:id="51"/>
      <w:bookmarkEnd w:id="52"/>
      <w:r>
        <w:rPr>
          <w:rFonts w:hint="eastAsia" w:ascii="仿宋" w:hAnsi="仿宋" w:eastAsia="仿宋" w:cs="仿宋"/>
          <w:b/>
          <w:color w:val="000000" w:themeColor="text1"/>
          <w:sz w:val="24"/>
          <w:highlight w:val="none"/>
          <w14:textFill>
            <w14:solidFill>
              <w14:schemeClr w14:val="tx1"/>
            </w14:solidFill>
          </w14:textFill>
        </w:rPr>
        <w:t>预付款</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pPr>
        <w:pStyle w:val="959"/>
        <w:spacing w:before="0" w:beforeAutospacing="0" w:after="0" w:afterAutospacing="0" w:line="360" w:lineRule="auto"/>
        <w:ind w:firstLine="480"/>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pPr>
        <w:pStyle w:val="959"/>
        <w:spacing w:before="0" w:beforeAutospacing="0" w:after="0" w:afterAutospacing="0" w:line="360" w:lineRule="auto"/>
        <w:ind w:firstLine="480"/>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pPr>
        <w:pStyle w:val="959"/>
        <w:spacing w:before="0" w:beforeAutospacing="0" w:after="0" w:afterAutospacing="0" w:line="360" w:lineRule="auto"/>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3" w:name="_Toc19304"/>
      <w:bookmarkStart w:id="54" w:name="_Toc32071"/>
      <w:bookmarkStart w:id="55" w:name="_Toc2846"/>
      <w:r>
        <w:rPr>
          <w:rFonts w:hint="eastAsia" w:ascii="仿宋" w:hAnsi="仿宋" w:eastAsia="仿宋" w:cs="仿宋"/>
          <w:b/>
          <w:color w:val="000000" w:themeColor="text1"/>
          <w:sz w:val="24"/>
          <w:highlight w:val="none"/>
          <w14:textFill>
            <w14:solidFill>
              <w14:schemeClr w14:val="tx1"/>
            </w14:solidFill>
          </w14:textFill>
        </w:rPr>
        <w:t>1.7货物交付期限、地点和方式</w:t>
      </w:r>
      <w:bookmarkEnd w:id="53"/>
      <w:bookmarkEnd w:id="54"/>
      <w:bookmarkEnd w:id="55"/>
    </w:p>
    <w:p>
      <w:pPr>
        <w:spacing w:line="560" w:lineRule="exact"/>
        <w:ind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6" w:name="_Toc21423"/>
      <w:bookmarkStart w:id="57" w:name="_Toc19554"/>
      <w:bookmarkStart w:id="58" w:name="_Toc27250"/>
      <w:r>
        <w:rPr>
          <w:rFonts w:hint="eastAsia" w:ascii="仿宋" w:hAnsi="仿宋" w:eastAsia="仿宋" w:cs="仿宋"/>
          <w:b/>
          <w:color w:val="000000" w:themeColor="text1"/>
          <w:sz w:val="24"/>
          <w:highlight w:val="none"/>
          <w14:textFill>
            <w14:solidFill>
              <w14:schemeClr w14:val="tx1"/>
            </w14:solidFill>
          </w14:textFill>
        </w:rPr>
        <w:t>1.8违约责任</w:t>
      </w:r>
      <w:bookmarkEnd w:id="56"/>
      <w:bookmarkEnd w:id="57"/>
      <w:bookmarkEnd w:id="58"/>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59" w:name="_Toc15583"/>
      <w:bookmarkStart w:id="60" w:name="_Toc28375"/>
      <w:bookmarkStart w:id="61" w:name="_Toc16021"/>
      <w:r>
        <w:rPr>
          <w:rFonts w:hint="eastAsia" w:ascii="仿宋" w:hAnsi="仿宋" w:eastAsia="仿宋" w:cs="仿宋"/>
          <w:b/>
          <w:color w:val="000000" w:themeColor="text1"/>
          <w:sz w:val="24"/>
          <w:highlight w:val="none"/>
          <w14:textFill>
            <w14:solidFill>
              <w14:schemeClr w14:val="tx1"/>
            </w14:solidFill>
          </w14:textFill>
        </w:rPr>
        <w:t>1.9合同争议的解决</w:t>
      </w:r>
      <w:bookmarkEnd w:id="59"/>
      <w:bookmarkEnd w:id="60"/>
      <w:bookmarkEnd w:id="61"/>
    </w:p>
    <w:p>
      <w:pPr>
        <w:spacing w:line="560" w:lineRule="exact"/>
        <w:ind w:left="-61" w:leftChars="-29" w:right="-420" w:rightChars="-200" w:firstLine="240" w:firstLineChars="1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 将争议提交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 向</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人民法院起诉。</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62" w:name="_Toc11173"/>
      <w:bookmarkStart w:id="63" w:name="_Toc7245"/>
      <w:bookmarkStart w:id="64" w:name="_Toc15322"/>
      <w:r>
        <w:rPr>
          <w:rFonts w:hint="eastAsia" w:ascii="仿宋" w:hAnsi="仿宋" w:eastAsia="仿宋" w:cs="仿宋"/>
          <w:b/>
          <w:color w:val="000000" w:themeColor="text1"/>
          <w:sz w:val="24"/>
          <w:highlight w:val="none"/>
          <w14:textFill>
            <w14:solidFill>
              <w14:schemeClr w14:val="tx1"/>
            </w14:solidFill>
          </w14:textFill>
        </w:rPr>
        <w:t>2.0 合同生效</w:t>
      </w:r>
      <w:bookmarkEnd w:id="62"/>
      <w:bookmarkEnd w:id="63"/>
      <w:bookmarkEnd w:id="64"/>
    </w:p>
    <w:p>
      <w:pPr>
        <w:spacing w:line="56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pPr>
        <w:autoSpaceDE w:val="0"/>
        <w:autoSpaceDN w:val="0"/>
        <w:spacing w:line="560" w:lineRule="exac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pPr>
        <w:autoSpaceDE w:val="0"/>
        <w:autoSpaceDN w:val="0"/>
        <w:spacing w:line="5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pPr>
        <w:pStyle w:val="4"/>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pStyle w:val="4"/>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pStyle w:val="4"/>
        <w:rPr>
          <w:rFonts w:hint="eastAsia" w:ascii="仿宋" w:hAnsi="仿宋" w:eastAsia="仿宋" w:cs="仿宋"/>
          <w:color w:val="000000" w:themeColor="text1"/>
          <w:sz w:val="24"/>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p>
    <w:p>
      <w:pPr>
        <w:pStyle w:val="702"/>
        <w:spacing w:line="560" w:lineRule="exact"/>
        <w:ind w:firstLine="482"/>
        <w:jc w:val="center"/>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65" w:name="_Ref467378404"/>
      <w:bookmarkStart w:id="66" w:name="_Ref467379101"/>
      <w:bookmarkStart w:id="67" w:name="_Ref467378463"/>
      <w:bookmarkStart w:id="68" w:name="_Ref467379214"/>
      <w:bookmarkStart w:id="69" w:name="_Toc16917"/>
      <w:bookmarkStart w:id="70" w:name="_Ref467379109"/>
      <w:bookmarkStart w:id="71" w:name="_Ref467379225"/>
      <w:bookmarkStart w:id="72" w:name="_Toc487900349"/>
      <w:bookmarkStart w:id="73" w:name="_Toc19614"/>
      <w:bookmarkStart w:id="74" w:name="_Ref467379205"/>
      <w:bookmarkStart w:id="75" w:name="_Ref467379094"/>
      <w:bookmarkStart w:id="76" w:name="_Toc279701240"/>
      <w:bookmarkStart w:id="77" w:name="_Ref467378499"/>
      <w:bookmarkStart w:id="78" w:name="_Ref467379195"/>
      <w:bookmarkStart w:id="79" w:name="_Toc259093669"/>
      <w:bookmarkStart w:id="80" w:name="_Toc28763"/>
      <w:r>
        <w:rPr>
          <w:rFonts w:hint="eastAsia" w:ascii="仿宋" w:hAnsi="仿宋" w:eastAsia="仿宋" w:cs="仿宋"/>
          <w:b/>
          <w:color w:val="000000" w:themeColor="text1"/>
          <w:sz w:val="24"/>
          <w:highlight w:val="none"/>
          <w14:textFill>
            <w14:solidFill>
              <w14:schemeClr w14:val="tx1"/>
            </w14:solidFill>
          </w14:textFill>
        </w:rPr>
        <w:t>2.1 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81" w:name="_Ref467378840"/>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w:t>
      </w:r>
      <w:bookmarkEnd w:id="81"/>
      <w:r>
        <w:rPr>
          <w:rFonts w:hint="eastAsia" w:ascii="仿宋" w:hAnsi="仿宋" w:eastAsia="仿宋" w:cs="仿宋"/>
          <w:color w:val="000000" w:themeColor="text1"/>
          <w:sz w:val="24"/>
          <w:highlight w:val="none"/>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82" w:name="_Ref467379400"/>
      <w:r>
        <w:rPr>
          <w:rFonts w:hint="eastAsia" w:ascii="仿宋" w:hAnsi="仿宋" w:eastAsia="仿宋" w:cs="仿宋"/>
          <w:color w:val="000000" w:themeColor="text1"/>
          <w:sz w:val="24"/>
          <w:highlight w:val="none"/>
          <w14:textFill>
            <w14:solidFill>
              <w14:schemeClr w14:val="tx1"/>
            </w14:solidFill>
          </w14:textFill>
        </w:rPr>
        <w:t>2.1.5 “乙方”系指根据合同约定交付货物的中标或成交供应商</w:t>
      </w:r>
      <w:bookmarkEnd w:id="82"/>
      <w:r>
        <w:rPr>
          <w:rFonts w:hint="eastAsia" w:ascii="仿宋" w:hAnsi="仿宋" w:eastAsia="仿宋" w:cs="仿宋"/>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83" w:name="_Ref467379436"/>
      <w:r>
        <w:rPr>
          <w:rFonts w:hint="eastAsia" w:ascii="仿宋" w:hAnsi="仿宋" w:eastAsia="仿宋" w:cs="仿宋"/>
          <w:color w:val="000000" w:themeColor="text1"/>
          <w:sz w:val="24"/>
          <w:highlight w:val="none"/>
          <w14:textFill>
            <w14:solidFill>
              <w14:schemeClr w14:val="tx1"/>
            </w14:solidFill>
          </w14:textFill>
        </w:rPr>
        <w:t>2.1.6 “现场”系指合同约定货物将要运至或者安装的地点。</w:t>
      </w:r>
      <w:bookmarkEnd w:id="83"/>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84" w:name="_Toc259093670"/>
      <w:bookmarkStart w:id="85" w:name="_Toc32504"/>
      <w:bookmarkStart w:id="86" w:name="_Toc279701241"/>
      <w:bookmarkStart w:id="87" w:name="_Toc27635"/>
      <w:bookmarkStart w:id="88" w:name="_Toc487900350"/>
      <w:bookmarkStart w:id="89" w:name="_Toc13336"/>
      <w:r>
        <w:rPr>
          <w:rFonts w:hint="eastAsia" w:ascii="仿宋" w:hAnsi="仿宋" w:eastAsia="仿宋" w:cs="仿宋"/>
          <w:b/>
          <w:color w:val="000000" w:themeColor="text1"/>
          <w:sz w:val="24"/>
          <w:highlight w:val="none"/>
          <w14:textFill>
            <w14:solidFill>
              <w14:schemeClr w14:val="tx1"/>
            </w14:solidFill>
          </w14:textFill>
        </w:rPr>
        <w:t>2.2 技术规范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0" w:name="_Toc259093671"/>
      <w:bookmarkStart w:id="91" w:name="_Toc279701242"/>
      <w:bookmarkStart w:id="92" w:name="_Toc9829"/>
      <w:bookmarkStart w:id="93" w:name="_Toc487900351"/>
      <w:bookmarkStart w:id="94" w:name="_Toc27853"/>
      <w:bookmarkStart w:id="95" w:name="_Toc31634"/>
      <w:r>
        <w:rPr>
          <w:rFonts w:hint="eastAsia" w:ascii="仿宋" w:hAnsi="仿宋" w:eastAsia="仿宋" w:cs="仿宋"/>
          <w:b/>
          <w:color w:val="000000" w:themeColor="text1"/>
          <w:sz w:val="24"/>
          <w:highlight w:val="none"/>
          <w14:textFill>
            <w14:solidFill>
              <w14:schemeClr w14:val="tx1"/>
            </w14:solidFill>
          </w14:textFill>
        </w:rPr>
        <w:t>2.3 知识产权</w:t>
      </w:r>
      <w:bookmarkEnd w:id="90"/>
      <w:bookmarkEnd w:id="91"/>
      <w:bookmarkEnd w:id="92"/>
      <w:bookmarkEnd w:id="93"/>
      <w:bookmarkEnd w:id="94"/>
      <w:bookmarkEnd w:id="95"/>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6" w:name="_Toc11932"/>
      <w:bookmarkStart w:id="97" w:name="_Toc29149"/>
      <w:bookmarkStart w:id="98" w:name="_Toc4194"/>
      <w:r>
        <w:rPr>
          <w:rFonts w:hint="eastAsia" w:ascii="仿宋" w:hAnsi="仿宋" w:eastAsia="仿宋" w:cs="仿宋"/>
          <w:b/>
          <w:color w:val="000000" w:themeColor="text1"/>
          <w:sz w:val="24"/>
          <w:highlight w:val="none"/>
          <w14:textFill>
            <w14:solidFill>
              <w14:schemeClr w14:val="tx1"/>
            </w14:solidFill>
          </w14:textFill>
        </w:rPr>
        <w:t>2.4 包装和装运</w:t>
      </w:r>
      <w:bookmarkEnd w:id="96"/>
      <w:bookmarkEnd w:id="97"/>
      <w:bookmarkEnd w:id="98"/>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2.4.1除</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 装运货物的要求和通知，详见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99" w:name="_Ref467378541"/>
      <w:bookmarkStart w:id="100" w:name="_Ref467379527"/>
      <w:bookmarkStart w:id="101" w:name="_Ref467379542"/>
      <w:bookmarkStart w:id="102" w:name="_Ref467378591"/>
      <w:bookmarkStart w:id="103" w:name="_Ref467379536"/>
      <w:bookmarkStart w:id="104" w:name="_Toc279701245"/>
      <w:bookmarkStart w:id="105" w:name="_Toc259093674"/>
      <w:bookmarkStart w:id="106" w:name="_Toc487900354"/>
      <w:bookmarkStart w:id="107" w:name="_Toc30272"/>
      <w:bookmarkStart w:id="108" w:name="_Toc19074"/>
      <w:bookmarkStart w:id="109" w:name="_Toc26182"/>
      <w:r>
        <w:rPr>
          <w:rFonts w:hint="eastAsia" w:ascii="仿宋" w:hAnsi="仿宋" w:eastAsia="仿宋" w:cs="仿宋"/>
          <w:b/>
          <w:color w:val="000000" w:themeColor="text1"/>
          <w:sz w:val="24"/>
          <w:highlight w:val="none"/>
          <w14:textFill>
            <w14:solidFill>
              <w14:schemeClr w14:val="tx1"/>
            </w14:solidFill>
          </w14:textFill>
        </w:rPr>
        <w:t>2.</w:t>
      </w:r>
      <w:bookmarkEnd w:id="99"/>
      <w:bookmarkEnd w:id="100"/>
      <w:bookmarkEnd w:id="101"/>
      <w:bookmarkEnd w:id="102"/>
      <w:bookmarkEnd w:id="103"/>
      <w:bookmarkEnd w:id="104"/>
      <w:bookmarkEnd w:id="105"/>
      <w:bookmarkEnd w:id="106"/>
      <w:r>
        <w:rPr>
          <w:rFonts w:hint="eastAsia" w:ascii="仿宋" w:hAnsi="仿宋" w:eastAsia="仿宋" w:cs="仿宋"/>
          <w:b/>
          <w:color w:val="000000" w:themeColor="text1"/>
          <w:sz w:val="24"/>
          <w:highlight w:val="none"/>
          <w14:textFill>
            <w14:solidFill>
              <w14:schemeClr w14:val="tx1"/>
            </w14:solidFill>
          </w14:textFill>
        </w:rPr>
        <w:t>5 履约检查和问题反馈</w:t>
      </w:r>
      <w:bookmarkEnd w:id="107"/>
      <w:bookmarkEnd w:id="108"/>
      <w:bookmarkEnd w:id="109"/>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10" w:name="_Ref467379657"/>
      <w:r>
        <w:rPr>
          <w:rFonts w:hint="eastAsia" w:ascii="仿宋" w:hAnsi="仿宋" w:eastAsia="仿宋" w:cs="仿宋"/>
          <w:color w:val="000000" w:themeColor="text1"/>
          <w:sz w:val="24"/>
          <w:highlight w:val="none"/>
          <w14:textFill>
            <w14:solidFill>
              <w14:schemeClr w14:val="tx1"/>
            </w14:solidFill>
          </w14:textFill>
        </w:rPr>
        <w:t>2.5.1</w:t>
      </w:r>
      <w:bookmarkEnd w:id="110"/>
      <w:bookmarkStart w:id="111" w:name="_Toc186431854"/>
      <w:bookmarkStart w:id="112" w:name="_Toc487900357"/>
      <w:bookmarkStart w:id="113" w:name="_Ref467379807"/>
      <w:bookmarkStart w:id="114" w:name="_Toc259093676"/>
      <w:bookmarkStart w:id="115" w:name="_Toc279701247"/>
      <w:bookmarkStart w:id="116" w:name="_Ref467379793"/>
      <w:r>
        <w:rPr>
          <w:rFonts w:hint="eastAsia" w:ascii="仿宋" w:hAnsi="仿宋" w:eastAsia="仿宋" w:cs="仿宋"/>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111"/>
      <w:bookmarkStart w:id="117" w:name="_Toc186431855"/>
      <w:r>
        <w:rPr>
          <w:rFonts w:hint="eastAsia" w:ascii="仿宋" w:hAnsi="仿宋" w:eastAsia="仿宋" w:cs="仿宋"/>
          <w:color w:val="000000" w:themeColor="text1"/>
          <w:sz w:val="24"/>
          <w:highlight w:val="none"/>
          <w14:textFill>
            <w14:solidFill>
              <w14:schemeClr w14:val="tx1"/>
            </w14:solidFill>
          </w14:textFill>
        </w:rPr>
        <w:t>。</w:t>
      </w:r>
    </w:p>
    <w:bookmarkEnd w:id="112"/>
    <w:bookmarkEnd w:id="113"/>
    <w:bookmarkEnd w:id="114"/>
    <w:bookmarkEnd w:id="115"/>
    <w:bookmarkEnd w:id="116"/>
    <w:bookmarkEnd w:id="117"/>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18" w:name="_Ref467379923"/>
      <w:bookmarkStart w:id="119" w:name="_Ref467379863"/>
      <w:bookmarkStart w:id="120" w:name="_Toc279701248"/>
      <w:bookmarkStart w:id="121" w:name="_Toc259093677"/>
      <w:bookmarkStart w:id="122" w:name="_Toc487900358"/>
      <w:bookmarkStart w:id="123" w:name="_Ref467379852"/>
      <w:bookmarkStart w:id="124" w:name="_Toc774"/>
      <w:bookmarkStart w:id="125" w:name="_Toc3225"/>
      <w:bookmarkStart w:id="126" w:name="_Toc16110"/>
      <w:r>
        <w:rPr>
          <w:rFonts w:hint="eastAsia" w:ascii="仿宋" w:hAnsi="仿宋" w:eastAsia="仿宋" w:cs="仿宋"/>
          <w:b/>
          <w:color w:val="000000" w:themeColor="text1"/>
          <w:sz w:val="24"/>
          <w:highlight w:val="none"/>
          <w14:textFill>
            <w14:solidFill>
              <w14:schemeClr w14:val="tx1"/>
            </w14:solidFill>
          </w14:textFill>
        </w:rPr>
        <w:t>2.6 技术资料</w:t>
      </w:r>
      <w:bookmarkEnd w:id="118"/>
      <w:bookmarkEnd w:id="119"/>
      <w:bookmarkEnd w:id="120"/>
      <w:bookmarkEnd w:id="121"/>
      <w:bookmarkEnd w:id="122"/>
      <w:bookmarkEnd w:id="123"/>
      <w:r>
        <w:rPr>
          <w:rFonts w:hint="eastAsia" w:ascii="仿宋" w:hAnsi="仿宋" w:eastAsia="仿宋" w:cs="仿宋"/>
          <w:b/>
          <w:color w:val="000000" w:themeColor="text1"/>
          <w:sz w:val="24"/>
          <w:highlight w:val="none"/>
          <w14:textFill>
            <w14:solidFill>
              <w14:schemeClr w14:val="tx1"/>
            </w14:solidFill>
          </w14:textFill>
        </w:rPr>
        <w:t>和保密义务</w:t>
      </w:r>
      <w:bookmarkEnd w:id="124"/>
      <w:bookmarkEnd w:id="125"/>
      <w:bookmarkEnd w:id="126"/>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7" w:name="_Toc7860"/>
      <w:r>
        <w:rPr>
          <w:rFonts w:hint="eastAsia" w:ascii="仿宋" w:hAnsi="仿宋" w:eastAsia="仿宋" w:cs="仿宋"/>
          <w:b/>
          <w:color w:val="000000" w:themeColor="text1"/>
          <w:sz w:val="24"/>
          <w:highlight w:val="none"/>
          <w14:textFill>
            <w14:solidFill>
              <w14:schemeClr w14:val="tx1"/>
            </w14:solidFill>
          </w14:textFill>
        </w:rPr>
        <w:t>2.7 质量保证</w:t>
      </w:r>
      <w:bookmarkEnd w:id="127"/>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28" w:name="_Toc17244"/>
      <w:bookmarkStart w:id="129" w:name="_Toc279701252"/>
      <w:bookmarkStart w:id="130" w:name="_Toc259093681"/>
      <w:bookmarkStart w:id="131" w:name="_Toc487900362"/>
      <w:r>
        <w:rPr>
          <w:rFonts w:hint="eastAsia" w:ascii="仿宋" w:hAnsi="仿宋" w:eastAsia="仿宋" w:cs="仿宋"/>
          <w:b/>
          <w:color w:val="000000" w:themeColor="text1"/>
          <w:sz w:val="24"/>
          <w:highlight w:val="none"/>
          <w14:textFill>
            <w14:solidFill>
              <w14:schemeClr w14:val="tx1"/>
            </w14:solidFill>
          </w14:textFill>
        </w:rPr>
        <w:t>2.8 货物的风险负担</w:t>
      </w:r>
      <w:bookmarkEnd w:id="128"/>
    </w:p>
    <w:p>
      <w:pPr>
        <w:spacing w:line="560" w:lineRule="exact"/>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2" w:name="_Toc14055"/>
      <w:r>
        <w:rPr>
          <w:rFonts w:hint="eastAsia" w:ascii="仿宋" w:hAnsi="仿宋" w:eastAsia="仿宋" w:cs="仿宋"/>
          <w:b/>
          <w:color w:val="000000" w:themeColor="text1"/>
          <w:sz w:val="24"/>
          <w:highlight w:val="none"/>
          <w14:textFill>
            <w14:solidFill>
              <w14:schemeClr w14:val="tx1"/>
            </w14:solidFill>
          </w14:textFill>
        </w:rPr>
        <w:t>2.9 延迟交货</w:t>
      </w:r>
      <w:bookmarkEnd w:id="129"/>
      <w:bookmarkEnd w:id="130"/>
      <w:bookmarkEnd w:id="131"/>
      <w:bookmarkEnd w:id="132"/>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33" w:name="_Toc7502"/>
      <w:bookmarkStart w:id="134" w:name="_Toc487900364"/>
      <w:bookmarkStart w:id="135" w:name="_Toc259093683"/>
      <w:bookmarkStart w:id="136" w:name="_Toc279701254"/>
      <w:bookmarkStart w:id="137" w:name="_Ref467378121"/>
      <w:r>
        <w:rPr>
          <w:rFonts w:hint="eastAsia" w:ascii="仿宋" w:hAnsi="仿宋" w:eastAsia="仿宋" w:cs="仿宋"/>
          <w:b/>
          <w:color w:val="000000" w:themeColor="text1"/>
          <w:sz w:val="24"/>
          <w:highlight w:val="none"/>
          <w14:textFill>
            <w14:solidFill>
              <w14:schemeClr w14:val="tx1"/>
            </w14:solidFill>
          </w14:textFill>
        </w:rPr>
        <w:t>2.10 合同变更</w:t>
      </w:r>
      <w:bookmarkEnd w:id="13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8" w:name="_Toc487900369"/>
      <w:bookmarkStart w:id="139" w:name="_Toc259093688"/>
      <w:bookmarkStart w:id="140" w:name="_Toc279701259"/>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1" w:name="_Toc22955"/>
      <w:bookmarkStart w:id="142" w:name="_Toc10366"/>
      <w:bookmarkStart w:id="143" w:name="_Toc15237"/>
      <w:r>
        <w:rPr>
          <w:rFonts w:hint="eastAsia" w:ascii="仿宋" w:hAnsi="仿宋" w:eastAsia="仿宋" w:cs="仿宋"/>
          <w:b/>
          <w:color w:val="000000" w:themeColor="text1"/>
          <w:sz w:val="24"/>
          <w:highlight w:val="none"/>
          <w14:textFill>
            <w14:solidFill>
              <w14:schemeClr w14:val="tx1"/>
            </w14:solidFill>
          </w14:textFill>
        </w:rPr>
        <w:t>2.11 合同转让</w:t>
      </w:r>
      <w:bookmarkEnd w:id="138"/>
      <w:bookmarkEnd w:id="139"/>
      <w:bookmarkEnd w:id="140"/>
      <w:r>
        <w:rPr>
          <w:rFonts w:hint="eastAsia" w:ascii="仿宋" w:hAnsi="仿宋" w:eastAsia="仿宋" w:cs="仿宋"/>
          <w:b/>
          <w:color w:val="000000" w:themeColor="text1"/>
          <w:sz w:val="24"/>
          <w:highlight w:val="none"/>
          <w14:textFill>
            <w14:solidFill>
              <w14:schemeClr w14:val="tx1"/>
            </w14:solidFill>
          </w14:textFill>
        </w:rPr>
        <w:t>和分包</w:t>
      </w:r>
      <w:bookmarkEnd w:id="141"/>
      <w:bookmarkEnd w:id="142"/>
      <w:bookmarkEnd w:id="143"/>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4" w:name="_Toc14066"/>
      <w:bookmarkStart w:id="145" w:name="_Toc13566"/>
      <w:bookmarkStart w:id="146" w:name="_Toc16508"/>
      <w:r>
        <w:rPr>
          <w:rFonts w:hint="eastAsia" w:ascii="仿宋" w:hAnsi="仿宋" w:eastAsia="仿宋" w:cs="仿宋"/>
          <w:b/>
          <w:color w:val="000000" w:themeColor="text1"/>
          <w:sz w:val="24"/>
          <w:highlight w:val="none"/>
          <w14:textFill>
            <w14:solidFill>
              <w14:schemeClr w14:val="tx1"/>
            </w14:solidFill>
          </w14:textFill>
        </w:rPr>
        <w:t>2.12 不可抗力</w:t>
      </w:r>
      <w:bookmarkEnd w:id="144"/>
      <w:bookmarkEnd w:id="145"/>
      <w:bookmarkEnd w:id="146"/>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47" w:name="_Toc259093684"/>
      <w:bookmarkStart w:id="148" w:name="_Toc6969"/>
      <w:bookmarkStart w:id="149" w:name="_Toc30676"/>
      <w:bookmarkStart w:id="150" w:name="_Toc689"/>
      <w:bookmarkStart w:id="151" w:name="_Toc279701255"/>
      <w:bookmarkStart w:id="152" w:name="_Toc487900365"/>
      <w:r>
        <w:rPr>
          <w:rFonts w:hint="eastAsia" w:ascii="仿宋" w:hAnsi="仿宋" w:eastAsia="仿宋" w:cs="仿宋"/>
          <w:b/>
          <w:color w:val="000000" w:themeColor="text1"/>
          <w:sz w:val="24"/>
          <w:highlight w:val="none"/>
          <w14:textFill>
            <w14:solidFill>
              <w14:schemeClr w14:val="tx1"/>
            </w14:solidFill>
          </w14:textFill>
        </w:rPr>
        <w:t>2.13 税费</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3" w:name="_Toc259093687"/>
      <w:bookmarkStart w:id="154" w:name="_Toc279701258"/>
      <w:bookmarkStart w:id="155" w:name="_Toc16959"/>
      <w:bookmarkStart w:id="156" w:name="_Toc487900368"/>
      <w:bookmarkStart w:id="157" w:name="_Toc8298"/>
      <w:bookmarkStart w:id="158" w:name="_Toc7102"/>
      <w:r>
        <w:rPr>
          <w:rFonts w:hint="eastAsia" w:ascii="仿宋" w:hAnsi="仿宋" w:eastAsia="仿宋" w:cs="仿宋"/>
          <w:b/>
          <w:color w:val="000000" w:themeColor="text1"/>
          <w:sz w:val="24"/>
          <w:highlight w:val="none"/>
          <w14:textFill>
            <w14:solidFill>
              <w14:schemeClr w14:val="tx1"/>
            </w14:solidFill>
          </w14:textFill>
        </w:rPr>
        <w:t>2.14乙方破产</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59" w:name="_Toc29333"/>
      <w:bookmarkStart w:id="160" w:name="_Toc6134"/>
      <w:bookmarkStart w:id="161" w:name="_Toc15387"/>
      <w:r>
        <w:rPr>
          <w:rFonts w:hint="eastAsia" w:ascii="仿宋" w:hAnsi="仿宋" w:eastAsia="仿宋" w:cs="仿宋"/>
          <w:b/>
          <w:color w:val="000000" w:themeColor="text1"/>
          <w:sz w:val="24"/>
          <w:highlight w:val="none"/>
          <w14:textFill>
            <w14:solidFill>
              <w14:schemeClr w14:val="tx1"/>
            </w14:solidFill>
          </w14:textFill>
        </w:rPr>
        <w:t>2.15 合同中止、终止</w:t>
      </w:r>
      <w:bookmarkEnd w:id="159"/>
      <w:bookmarkEnd w:id="160"/>
      <w:bookmarkEnd w:id="161"/>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双方当事人不得擅自中止或者终止合同；</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62" w:name="_Toc14563"/>
      <w:bookmarkStart w:id="163" w:name="_Toc1125"/>
      <w:bookmarkStart w:id="164" w:name="_Toc6596"/>
      <w:r>
        <w:rPr>
          <w:rFonts w:hint="eastAsia" w:ascii="仿宋" w:hAnsi="仿宋" w:eastAsia="仿宋" w:cs="仿宋"/>
          <w:b/>
          <w:color w:val="000000" w:themeColor="text1"/>
          <w:sz w:val="24"/>
          <w:highlight w:val="none"/>
          <w14:textFill>
            <w14:solidFill>
              <w14:schemeClr w14:val="tx1"/>
            </w14:solidFill>
          </w14:textFill>
        </w:rPr>
        <w:t>2.16检验和验收</w:t>
      </w:r>
      <w:bookmarkEnd w:id="162"/>
      <w:bookmarkEnd w:id="163"/>
      <w:bookmarkEnd w:id="164"/>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bookmarkEnd w:id="134"/>
    <w:bookmarkEnd w:id="135"/>
    <w:bookmarkEnd w:id="136"/>
    <w:bookmarkEnd w:id="137"/>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65" w:name="_Toc259093690"/>
      <w:bookmarkStart w:id="166" w:name="_Toc487900371"/>
      <w:bookmarkStart w:id="167" w:name="_Toc279701261"/>
      <w:bookmarkStart w:id="168" w:name="_Toc11284"/>
      <w:bookmarkStart w:id="169" w:name="_Toc19604"/>
      <w:bookmarkStart w:id="170" w:name="_Toc25182"/>
      <w:r>
        <w:rPr>
          <w:rFonts w:hint="eastAsia" w:ascii="仿宋" w:hAnsi="仿宋" w:eastAsia="仿宋" w:cs="仿宋"/>
          <w:b/>
          <w:color w:val="000000" w:themeColor="text1"/>
          <w:sz w:val="24"/>
          <w:highlight w:val="none"/>
          <w14:textFill>
            <w14:solidFill>
              <w14:schemeClr w14:val="tx1"/>
            </w14:solidFill>
          </w14:textFill>
        </w:rPr>
        <w:t>2.17 通知</w:t>
      </w:r>
      <w:bookmarkEnd w:id="165"/>
      <w:bookmarkEnd w:id="166"/>
      <w:bookmarkEnd w:id="167"/>
      <w:r>
        <w:rPr>
          <w:rFonts w:hint="eastAsia" w:ascii="仿宋" w:hAnsi="仿宋" w:eastAsia="仿宋" w:cs="仿宋"/>
          <w:b/>
          <w:color w:val="000000" w:themeColor="text1"/>
          <w:sz w:val="24"/>
          <w:highlight w:val="none"/>
          <w14:textFill>
            <w14:solidFill>
              <w14:schemeClr w14:val="tx1"/>
            </w14:solidFill>
          </w14:textFill>
        </w:rPr>
        <w:t>和送达</w:t>
      </w:r>
      <w:bookmarkEnd w:id="168"/>
      <w:bookmarkEnd w:id="169"/>
      <w:bookmarkEnd w:id="170"/>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71" w:name="_Toc3135"/>
      <w:bookmarkStart w:id="172" w:name="_Toc6698"/>
      <w:bookmarkStart w:id="173" w:name="_Toc279701262"/>
      <w:bookmarkStart w:id="174" w:name="_Toc259093691"/>
      <w:bookmarkStart w:id="175" w:name="_Toc487900372"/>
      <w:r>
        <w:rPr>
          <w:rFonts w:hint="eastAsia" w:ascii="仿宋" w:hAnsi="仿宋" w:eastAsia="仿宋" w:cs="仿宋"/>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171"/>
      <w:bookmarkEnd w:id="172"/>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bookmarkStart w:id="176" w:name="_Toc23128"/>
      <w:bookmarkStart w:id="177" w:name="_Toc23294"/>
      <w:r>
        <w:rPr>
          <w:rFonts w:hint="eastAsia" w:ascii="仿宋" w:hAnsi="仿宋" w:eastAsia="仿宋" w:cs="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6"/>
      <w:bookmarkEnd w:id="177"/>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78" w:name="_Toc18540"/>
      <w:bookmarkStart w:id="179" w:name="_Toc30599"/>
      <w:bookmarkStart w:id="180" w:name="_Toc4355"/>
      <w:r>
        <w:rPr>
          <w:rFonts w:hint="eastAsia" w:ascii="仿宋" w:hAnsi="仿宋" w:eastAsia="仿宋" w:cs="仿宋"/>
          <w:b/>
          <w:color w:val="000000" w:themeColor="text1"/>
          <w:sz w:val="24"/>
          <w:highlight w:val="none"/>
          <w14:textFill>
            <w14:solidFill>
              <w14:schemeClr w14:val="tx1"/>
            </w14:solidFill>
          </w14:textFill>
        </w:rPr>
        <w:t>2.18 计量单位</w:t>
      </w:r>
      <w:bookmarkEnd w:id="173"/>
      <w:bookmarkEnd w:id="174"/>
      <w:bookmarkEnd w:id="175"/>
      <w:bookmarkEnd w:id="178"/>
      <w:bookmarkEnd w:id="179"/>
      <w:bookmarkEnd w:id="180"/>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81" w:name="_Toc279701263"/>
      <w:bookmarkStart w:id="182" w:name="_Toc487900373"/>
      <w:bookmarkStart w:id="183" w:name="_Toc12773"/>
      <w:bookmarkStart w:id="184" w:name="_Toc10330"/>
      <w:bookmarkStart w:id="185" w:name="_Toc18567"/>
      <w:bookmarkStart w:id="186" w:name="_Toc259093692"/>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81"/>
      <w:bookmarkEnd w:id="182"/>
      <w:bookmarkEnd w:id="183"/>
      <w:bookmarkEnd w:id="184"/>
      <w:bookmarkEnd w:id="185"/>
      <w:bookmarkEnd w:id="186"/>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highlight w:val="none"/>
          <w14:textFill>
            <w14:solidFill>
              <w14:schemeClr w14:val="tx1"/>
            </w14:solidFill>
          </w14:textFill>
        </w:rPr>
      </w:pPr>
      <w:bookmarkStart w:id="187" w:name="_Toc6885"/>
      <w:bookmarkStart w:id="188" w:name="_Toc14001"/>
      <w:bookmarkStart w:id="189" w:name="_Toc19890"/>
      <w:r>
        <w:rPr>
          <w:rFonts w:hint="eastAsia" w:ascii="仿宋" w:hAnsi="仿宋" w:eastAsia="仿宋" w:cs="仿宋"/>
          <w:b/>
          <w:color w:val="000000" w:themeColor="text1"/>
          <w:sz w:val="24"/>
          <w:highlight w:val="none"/>
          <w14:textFill>
            <w14:solidFill>
              <w14:schemeClr w14:val="tx1"/>
            </w14:solidFill>
          </w14:textFill>
        </w:rPr>
        <w:t>2.20 合同份数</w:t>
      </w:r>
      <w:bookmarkEnd w:id="187"/>
      <w:bookmarkEnd w:id="188"/>
      <w:bookmarkEnd w:id="189"/>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br w:type="page"/>
      </w:r>
      <w:r>
        <w:rPr>
          <w:rFonts w:hint="eastAsia" w:ascii="仿宋" w:hAnsi="仿宋" w:eastAsia="仿宋" w:cs="仿宋"/>
          <w:b/>
          <w:color w:val="000000" w:themeColor="text1"/>
          <w:sz w:val="32"/>
          <w:szCs w:val="20"/>
          <w:highlight w:val="none"/>
          <w14:textFill>
            <w14:solidFill>
              <w14:schemeClr w14:val="tx1"/>
            </w14:solidFill>
          </w14:textFill>
        </w:rPr>
        <w:t xml:space="preserve"> </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76"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1.5.1</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1.5.2 </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2.8 </w:t>
            </w:r>
          </w:p>
        </w:tc>
        <w:tc>
          <w:tcPr>
            <w:tcW w:w="8176"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2.12.4</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2.16.1</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2.16.3</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2.20 </w:t>
            </w:r>
          </w:p>
        </w:tc>
        <w:tc>
          <w:tcPr>
            <w:tcW w:w="8176"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pPr>
        <w:rPr>
          <w:rFonts w:hint="eastAsia" w:ascii="仿宋" w:hAnsi="仿宋" w:eastAsia="仿宋" w:cs="仿宋"/>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评分标准：</w:t>
      </w:r>
    </w:p>
    <w:p>
      <w:pPr>
        <w:ind w:firstLine="241"/>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1、评标方法：</w:t>
      </w:r>
    </w:p>
    <w:p>
      <w:pPr>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ind w:firstLine="472" w:firstLineChars="196"/>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ind w:firstLine="24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pPr>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noWrap w:val="0"/>
            <w:vAlign w:val="center"/>
          </w:tcPr>
          <w:p>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noWrap w:val="0"/>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noWrap w:val="0"/>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noWrap w:val="0"/>
            <w:vAlign w:val="center"/>
          </w:tcPr>
          <w:p>
            <w:pPr>
              <w:widowControl/>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投标人自2021年1月1日以来（以合同签订时间为准）完成的同类案例，每有一个得1分，最高得</w:t>
            </w:r>
            <w:r>
              <w:rPr>
                <w:rFonts w:hint="eastAsia" w:ascii="仿宋" w:hAnsi="仿宋" w:eastAsia="仿宋" w:cs="仿宋"/>
                <w:color w:val="000000" w:themeColor="text1"/>
                <w:kern w:val="0"/>
                <w:sz w:val="24"/>
                <w:lang w:val="en-US" w:eastAsia="zh-CN"/>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p>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w:t>
            </w:r>
          </w:p>
          <w:p>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每个案例提供合同</w:t>
            </w:r>
            <w:r>
              <w:rPr>
                <w:rFonts w:hint="eastAsia" w:ascii="仿宋" w:hAnsi="仿宋" w:eastAsia="仿宋" w:cs="仿宋"/>
                <w:color w:val="000000" w:themeColor="text1"/>
                <w:kern w:val="0"/>
                <w:sz w:val="24"/>
                <w:lang w:val="en-US" w:eastAsia="zh-CN"/>
                <w14:textFill>
                  <w14:solidFill>
                    <w14:schemeClr w14:val="tx1"/>
                  </w14:solidFill>
                </w14:textFill>
              </w:rPr>
              <w:t>及验收报告的复印件，并</w:t>
            </w:r>
            <w:r>
              <w:rPr>
                <w:rFonts w:hint="eastAsia" w:ascii="仿宋" w:hAnsi="仿宋" w:eastAsia="仿宋" w:cs="仿宋"/>
                <w:color w:val="000000" w:themeColor="text1"/>
                <w:kern w:val="0"/>
                <w:sz w:val="24"/>
                <w14:textFill>
                  <w14:solidFill>
                    <w14:schemeClr w14:val="tx1"/>
                  </w14:solidFill>
                </w14:textFill>
              </w:rPr>
              <w:t>加盖投标人公章。</w:t>
            </w:r>
          </w:p>
          <w:p>
            <w:pPr>
              <w:widowControl/>
              <w:spacing w:line="320" w:lineRule="exact"/>
              <w:jc w:val="left"/>
              <w:rPr>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noWrap w:val="0"/>
            <w:vAlign w:val="center"/>
          </w:tcPr>
          <w:p>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pPr>
              <w:widowControl/>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noWrap w:val="0"/>
            <w:vAlign w:val="center"/>
          </w:tcPr>
          <w:p>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noWrap w:val="0"/>
            <w:vAlign w:val="center"/>
          </w:tcPr>
          <w:p>
            <w:pPr>
              <w:widowControl/>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pPr>
        <w:snapToGrid w:val="0"/>
        <w:rPr>
          <w:rFonts w:hint="eastAsia"/>
          <w:color w:val="000000" w:themeColor="text1"/>
          <w:sz w:val="20"/>
          <w:szCs w:val="20"/>
          <w:shd w:val="clear" w:color="auto" w:fill="FFFFFF"/>
          <w14:textFill>
            <w14:solidFill>
              <w14:schemeClr w14:val="tx1"/>
            </w14:solidFill>
          </w14:textFill>
        </w:rPr>
      </w:pPr>
    </w:p>
    <w:p>
      <w:pPr>
        <w:snapToGrid w:val="0"/>
        <w:rPr>
          <w:rFonts w:ascii="仿宋" w:hAnsi="仿宋" w:eastAsia="仿宋" w:cs="仿宋"/>
          <w:color w:val="000000" w:themeColor="text1"/>
          <w:sz w:val="24"/>
          <w14:textFill>
            <w14:solidFill>
              <w14:schemeClr w14:val="tx1"/>
            </w14:solidFill>
          </w14:textFill>
        </w:rPr>
      </w:pPr>
      <w:r>
        <w:rPr>
          <w:rFonts w:hint="eastAsia"/>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w:t>
      </w:r>
      <w:r>
        <w:rPr>
          <w:rFonts w:hint="eastAsia"/>
          <w:color w:val="000000" w:themeColor="text1"/>
          <w:sz w:val="24"/>
          <w14:textFill>
            <w14:solidFill>
              <w14:schemeClr w14:val="tx1"/>
            </w14:solidFill>
          </w14:textFill>
        </w:rPr>
        <w:t> </w:t>
      </w:r>
    </w:p>
    <w:p>
      <w:pPr>
        <w:snapToGrid w:val="0"/>
        <w:ind w:firstLine="482" w:firstLineChars="200"/>
        <w:rPr>
          <w:rFonts w:hint="eastAsia" w:ascii="仿宋" w:hAnsi="仿宋" w:eastAsia="仿宋" w:cs="仿宋"/>
          <w:b/>
          <w:color w:val="000000" w:themeColor="text1"/>
          <w:sz w:val="24"/>
          <w14:textFill>
            <w14:solidFill>
              <w14:schemeClr w14:val="tx1"/>
            </w14:solidFill>
          </w14:textFill>
        </w:rPr>
      </w:pPr>
    </w:p>
    <w:p>
      <w:pPr>
        <w:ind w:firstLine="482" w:firstLineChars="200"/>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2.2价格分（30分）</w:t>
      </w:r>
    </w:p>
    <w:p>
      <w:pPr>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即：投标报价得分=(评标基准价／投标报价)×30</w:t>
      </w:r>
    </w:p>
    <w:p>
      <w:pPr>
        <w:rPr>
          <w:color w:val="000000" w:themeColor="text1"/>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bookmarkEnd w:id="39"/>
    <w:bookmarkEnd w:id="40"/>
    <w:p>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pPr>
        <w:pStyle w:val="23"/>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3"/>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pPr>
        <w:pStyle w:val="81"/>
        <w:rPr>
          <w:rFonts w:hint="eastAsia"/>
          <w:color w:val="000000" w:themeColor="text1"/>
          <w:highlight w:val="none"/>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eastAsia="zh-CN"/>
          <w14:textFill>
            <w14:solidFill>
              <w14:schemeClr w14:val="tx1"/>
            </w14:solidFill>
          </w14:textFill>
        </w:rPr>
        <w:t>投标函</w:t>
      </w:r>
      <w:r>
        <w:rPr>
          <w:rFonts w:hint="eastAsia" w:ascii="仿宋" w:eastAsia="仿宋" w:cs="仿宋"/>
          <w:color w:val="000000" w:themeColor="text1"/>
          <w:highlight w:val="none"/>
          <w14:textFill>
            <w14:solidFill>
              <w14:schemeClr w14:val="tx1"/>
            </w14:solidFill>
          </w14:textFill>
        </w:rPr>
        <w:t>…………………………………………………………………………（页码）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法定代表人授权书 ………………………………………………………… （页码）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法定代表人及其授权代表身份证复印件（复印件）…………………………（页码）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pPr>
        <w:pStyle w:val="905"/>
        <w:numPr>
          <w:ilvl w:val="0"/>
          <w:numId w:val="2"/>
        </w:numPr>
        <w:spacing w:line="336" w:lineRule="auto"/>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pPr>
        <w:adjustRightInd w:val="0"/>
        <w:spacing w:line="360" w:lineRule="auto"/>
        <w:ind w:right="-510" w:rightChars="-243"/>
        <w:jc w:val="both"/>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主要业绩证明…………………………………………………</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（页码）</w:t>
      </w:r>
    </w:p>
    <w:p>
      <w:pPr>
        <w:spacing w:line="360" w:lineRule="auto"/>
        <w:ind w:right="-510" w:rightChars="-243"/>
        <w:jc w:val="both"/>
        <w:outlineLvl w:val="0"/>
        <w:rPr>
          <w:rFonts w:hint="eastAsia"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24"/>
          <w:highlight w:val="none"/>
          <w14:textFill>
            <w14:solidFill>
              <w14:schemeClr w14:val="tx1"/>
            </w14:solidFill>
          </w14:textFill>
        </w:rPr>
        <w:t>）技术解决方案…………………………………………………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outlineLvl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highlight w:val="none"/>
          <w14:textFill>
            <w14:solidFill>
              <w14:schemeClr w14:val="tx1"/>
            </w14:solidFill>
          </w14:textFill>
        </w:rPr>
        <w:t>组织实施方案……………………………………………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highlight w:val="none"/>
          <w14:textFill>
            <w14:solidFill>
              <w14:schemeClr w14:val="tx1"/>
            </w14:solidFill>
          </w14:textFill>
        </w:rPr>
        <w:t>）售后服务方案……………………………………………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4"/>
          <w:highlight w:val="none"/>
          <w14:textFill>
            <w14:solidFill>
              <w14:schemeClr w14:val="tx1"/>
            </w14:solidFill>
          </w14:textFill>
        </w:rPr>
        <w:t>供应商售后服务证明材料……………………………………………………（页码）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highlight w:val="none"/>
          <w14:textFill>
            <w14:solidFill>
              <w14:schemeClr w14:val="tx1"/>
            </w14:solidFill>
          </w14:textFill>
        </w:rPr>
        <w:t>）项目小组人员名单………………………………………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优惠条件及特殊承诺……………………………………</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14</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培训计划………………………………………………………</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510" w:rightChars="-243"/>
        <w:jc w:val="both"/>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16</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验收方案…………………………………………………………</w:t>
      </w:r>
      <w:r>
        <w:rPr>
          <w:rFonts w:hint="eastAsia" w:ascii="仿宋_GB2312" w:hAnsi="仿宋_GB2312" w:eastAsia="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pacing w:line="360" w:lineRule="auto"/>
        <w:ind w:right="-368" w:rightChars="-175"/>
        <w:jc w:val="both"/>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认为需要的其他商务技术（资信）文件或说明…………</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hAnsi="仿宋_GB2312" w:cs="仿宋_GB2312"/>
          <w:color w:val="000000" w:themeColor="text1"/>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4"/>
          <w:highlight w:val="none"/>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pPr>
        <w:spacing w:line="440" w:lineRule="exact"/>
        <w:rPr>
          <w:rFonts w:hint="eastAsia" w:ascii="仿宋" w:hAnsi="仿宋" w:eastAsia="仿宋" w:cs="仿宋"/>
          <w:color w:val="000000" w:themeColor="text1"/>
          <w:sz w:val="24"/>
          <w:highlight w:val="none"/>
          <w14:textFill>
            <w14:solidFill>
              <w14:schemeClr w14:val="tx1"/>
            </w14:solidFill>
          </w14:textFill>
        </w:rPr>
      </w:pP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七</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strike w:val="0"/>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w:t>
      </w:r>
      <w:r>
        <w:rPr>
          <w:rFonts w:hint="eastAsia" w:ascii="仿宋_GB2312" w:hAnsi="仿宋_GB2312" w:eastAsia="仿宋_GB2312" w:cs="仿宋_GB2312"/>
          <w:b/>
          <w:strike w:val="0"/>
          <w:color w:val="000000" w:themeColor="text1"/>
          <w:sz w:val="24"/>
          <w:highlight w:val="none"/>
          <w14:textFill>
            <w14:solidFill>
              <w14:schemeClr w14:val="tx1"/>
            </w14:solidFill>
          </w14:textFill>
        </w:rPr>
        <w:t>件。</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649"/>
        <w:ind w:firstLine="0"/>
        <w:jc w:val="both"/>
        <w:rPr>
          <w:rFonts w:hAnsi="仿宋_GB2312" w:cs="仿宋_GB2312"/>
          <w:color w:val="000000" w:themeColor="text1"/>
          <w:highlight w:val="none"/>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九、组织实施方案</w:t>
      </w:r>
    </w:p>
    <w:p>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1"/>
        <w:rPr>
          <w:color w:val="000000" w:themeColor="text1"/>
          <w:highlight w:val="none"/>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pPr>
        <w:autoSpaceDE w:val="0"/>
        <w:autoSpaceDN w:val="0"/>
        <w:spacing w:line="360" w:lineRule="auto"/>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pStyle w:val="81"/>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十一</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招标</w:t>
      </w:r>
      <w:r>
        <w:rPr>
          <w:rFonts w:hint="eastAsia" w:ascii="仿宋_GB2312" w:hAnsi="仿宋_GB2312" w:eastAsia="仿宋_GB2312" w:cs="仿宋_GB2312"/>
          <w:color w:val="000000" w:themeColor="text1"/>
          <w:sz w:val="24"/>
          <w:highlight w:val="none"/>
          <w14:textFill>
            <w14:solidFill>
              <w14:schemeClr w14:val="tx1"/>
            </w14:solidFill>
          </w14:textFill>
        </w:rPr>
        <w:t>文件要求编制）</w:t>
      </w: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pPr>
        <w:pStyle w:val="81"/>
        <w:rPr>
          <w:rFonts w:hint="eastAsia"/>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十二</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pStyle w:val="81"/>
        <w:rPr>
          <w:color w:val="000000" w:themeColor="text1"/>
          <w:highlight w:val="none"/>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spacing w:line="360" w:lineRule="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pPr>
        <w:pStyle w:val="81"/>
        <w:rPr>
          <w:color w:val="000000" w:themeColor="text1"/>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pPr>
        <w:pStyle w:val="81"/>
        <w:rPr>
          <w:color w:val="000000" w:themeColor="text1"/>
          <w:highlight w:val="none"/>
          <w14:textFill>
            <w14:solidFill>
              <w14:schemeClr w14:val="tx1"/>
            </w14:solidFill>
          </w14:textFill>
        </w:rPr>
      </w:pPr>
    </w:p>
    <w:p>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2"/>
        <w:rPr>
          <w:rFonts w:hint="eastAsia"/>
          <w:color w:val="000000" w:themeColor="text1"/>
          <w:highlight w:val="none"/>
          <w14:textFill>
            <w14:solidFill>
              <w14:schemeClr w14:val="tx1"/>
            </w14:solidFill>
          </w14:textFill>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br w:type="page"/>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品牌（如果有）</w:t>
            </w:r>
          </w:p>
        </w:tc>
        <w:tc>
          <w:tcPr>
            <w:tcW w:w="3118"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p>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pPr>
              <w:spacing w:line="360" w:lineRule="auto"/>
              <w:jc w:val="center"/>
              <w:rPr>
                <w:rFonts w:ascii="仿宋" w:hAnsi="仿宋" w:eastAsia="仿宋" w:cs="仿宋"/>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417"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pPr>
              <w:spacing w:line="360" w:lineRule="auto"/>
              <w:jc w:val="center"/>
              <w:rPr>
                <w:rFonts w:ascii="仿宋" w:hAnsi="仿宋" w:eastAsia="仿宋" w:cs="仿宋"/>
                <w:color w:val="000000" w:themeColor="text1"/>
                <w:sz w:val="24"/>
                <w:highlight w:val="none"/>
                <w14:textFill>
                  <w14:solidFill>
                    <w14:schemeClr w14:val="tx1"/>
                  </w14:solidFill>
                </w14:textFill>
              </w:rPr>
            </w:pPr>
          </w:p>
        </w:tc>
      </w:tr>
    </w:tbl>
    <w:p>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p>
    <w:p>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pPr>
        <w:snapToGrid w:val="0"/>
        <w:spacing w:line="360" w:lineRule="auto"/>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投标人 (公章)：</w:t>
      </w:r>
    </w:p>
    <w:p>
      <w:pPr>
        <w:snapToGrid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法定代表人或其授权代表(签字或盖章)：</w:t>
      </w:r>
    </w:p>
    <w:p>
      <w:pPr>
        <w:snapToGrid w:val="0"/>
        <w:spacing w:line="360" w:lineRule="auto"/>
        <w:ind w:firstLine="9240" w:firstLineChars="3850"/>
        <w:rPr>
          <w:rFonts w:ascii="仿宋_GB2312" w:hAns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_GB2312" w:eastAsia="仿宋_GB2312" w:cs="仿宋_GB2312"/>
          <w:color w:val="000000" w:themeColor="text1"/>
          <w:kern w:val="0"/>
          <w:sz w:val="24"/>
          <w:highlight w:val="none"/>
          <w14:textFill>
            <w14:solidFill>
              <w14:schemeClr w14:val="tx1"/>
            </w14:solidFill>
          </w14:textFill>
        </w:rPr>
        <w:t>：年</w:t>
      </w:r>
      <w:r>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t>月日</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74" w:right="1814" w:bottom="1474" w:left="181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190" w:name="_Hlk101259491"/>
      <w:r>
        <w:rPr>
          <w:rFonts w:hint="eastAsia" w:ascii="仿宋" w:hAnsi="仿宋" w:eastAsia="仿宋" w:cs="仿宋"/>
          <w:color w:val="000000" w:themeColor="text1"/>
          <w:sz w:val="32"/>
          <w:szCs w:val="32"/>
          <w:highlight w:val="none"/>
          <w14:textFill>
            <w14:solidFill>
              <w14:schemeClr w14:val="tx1"/>
            </w14:solidFill>
          </w14:textFill>
        </w:rPr>
        <w:t>（如果有）</w:t>
      </w:r>
      <w:bookmarkEnd w:id="190"/>
    </w:p>
    <w:p>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000000" w:themeColor="text1"/>
          <w:highlight w:val="none"/>
          <w14:textFill>
            <w14:solidFill>
              <w14:schemeClr w14:val="tx1"/>
            </w14:solidFill>
          </w14:textFill>
        </w:rPr>
      </w:pPr>
    </w:p>
    <w:p>
      <w:pPr>
        <w:pStyle w:val="82"/>
        <w:rPr>
          <w:rFonts w:ascii="仿宋" w:hAnsi="仿宋" w:eastAsia="仿宋" w:cs="仿宋"/>
          <w:b/>
          <w:color w:val="000000" w:themeColor="text1"/>
          <w:sz w:val="24"/>
          <w:highlight w:val="none"/>
          <w14:textFill>
            <w14:solidFill>
              <w14:schemeClr w14:val="tx1"/>
            </w14:solidFill>
          </w14:textFill>
        </w:rPr>
      </w:pPr>
    </w:p>
    <w:p>
      <w:pPr>
        <w:rPr>
          <w:rFonts w:ascii="仿宋" w:hAnsi="仿宋" w:eastAsia="仿宋" w:cs="仿宋"/>
          <w:b/>
          <w:color w:val="000000" w:themeColor="text1"/>
          <w:sz w:val="24"/>
          <w:highlight w:val="none"/>
          <w14:textFill>
            <w14:solidFill>
              <w14:schemeClr w14:val="tx1"/>
            </w14:solidFill>
          </w14:textFill>
        </w:rPr>
      </w:pPr>
    </w:p>
    <w:p>
      <w:pPr>
        <w:pStyle w:val="81"/>
        <w:rPr>
          <w:rFonts w:ascii="仿宋" w:hAnsi="仿宋" w:eastAsia="仿宋" w:cs="仿宋"/>
          <w:b/>
          <w:color w:val="000000" w:themeColor="text1"/>
          <w:highlight w:val="none"/>
          <w14:textFill>
            <w14:solidFill>
              <w14:schemeClr w14:val="tx1"/>
            </w14:solidFill>
          </w14:textFill>
        </w:rPr>
      </w:pPr>
    </w:p>
    <w:p>
      <w:pPr>
        <w:pStyle w:val="82"/>
        <w:rPr>
          <w:color w:val="000000" w:themeColor="text1"/>
          <w:highlight w:val="none"/>
          <w14:textFill>
            <w14:solidFill>
              <w14:schemeClr w14:val="tx1"/>
            </w14:solidFill>
          </w14:textFill>
        </w:rPr>
      </w:pPr>
    </w:p>
    <w:p>
      <w:pPr>
        <w:pStyle w:val="82"/>
        <w:rPr>
          <w:color w:val="000000" w:themeColor="text1"/>
          <w:highlight w:val="none"/>
          <w14:textFill>
            <w14:solidFill>
              <w14:schemeClr w14:val="tx1"/>
            </w14:solidFill>
          </w14:textFill>
        </w:rPr>
      </w:pPr>
    </w:p>
    <w:p>
      <w:pPr>
        <w:widowControl/>
        <w:spacing w:line="360" w:lineRule="auto"/>
        <w:ind w:firstLine="161" w:firstLineChars="50"/>
        <w:jc w:val="center"/>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b/>
          <w:bCs/>
          <w:color w:val="000000" w:themeColor="text1"/>
          <w:sz w:val="32"/>
          <w:szCs w:val="32"/>
          <w:highlight w:val="none"/>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b/>
          <w:bCs/>
          <w:snapToGrid w:val="0"/>
          <w:color w:val="000000" w:themeColor="text1"/>
          <w:sz w:val="24"/>
          <w:szCs w:val="21"/>
          <w:highlight w:val="none"/>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highlight w:val="none"/>
          <w14:textFill>
            <w14:solidFill>
              <w14:schemeClr w14:val="tx1"/>
            </w14:solidFill>
          </w14:textFill>
        </w:rPr>
        <w:t>6</w:t>
      </w:r>
      <w:r>
        <w:rPr>
          <w:rFonts w:ascii="仿宋" w:hAnsi="仿宋" w:eastAsia="仿宋" w:cs="仿宋"/>
          <w:b/>
          <w:bCs/>
          <w:snapToGrid w:val="0"/>
          <w:color w:val="000000" w:themeColor="text1"/>
          <w:sz w:val="24"/>
          <w:szCs w:val="21"/>
          <w:highlight w:val="none"/>
          <w:lang w:val="zh-CN"/>
          <w14:textFill>
            <w14:solidFill>
              <w14:schemeClr w14:val="tx1"/>
            </w14:solidFill>
          </w14:textFill>
        </w:rPr>
        <w:t>)，否则不需要提供。]</w:t>
      </w:r>
    </w:p>
    <w:p>
      <w:pPr>
        <w:pStyle w:val="81"/>
        <w:widowControl/>
        <w:spacing w:line="360" w:lineRule="auto"/>
        <w:ind w:firstLine="120" w:firstLineChars="50"/>
        <w:rPr>
          <w:rFonts w:ascii="仿宋" w:hAnsi="仿宋" w:eastAsia="仿宋" w:cs="仿宋"/>
          <w:b/>
          <w:color w:val="000000" w:themeColor="text1"/>
          <w:highlight w:val="none"/>
          <w14:textFill>
            <w14:solidFill>
              <w14:schemeClr w14:val="tx1"/>
            </w14:solidFill>
          </w14:textFill>
        </w:rPr>
      </w:pPr>
    </w:p>
    <w:p>
      <w:pPr>
        <w:pStyle w:val="82"/>
        <w:spacing w:line="360" w:lineRule="auto"/>
        <w:ind w:left="0" w:firstLine="120" w:firstLineChars="50"/>
        <w:jc w:val="left"/>
        <w:rPr>
          <w:rFonts w:ascii="仿宋" w:hAnsi="仿宋" w:eastAsia="仿宋" w:cs="仿宋"/>
          <w:b/>
          <w:color w:val="000000" w:themeColor="text1"/>
          <w:sz w:val="24"/>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82"/>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bookmarkStart w:id="191" w:name="_Toc465665161"/>
      <w:r>
        <w:rPr>
          <w:rFonts w:hint="eastAsia" w:ascii="仿宋" w:hAnsi="仿宋" w:eastAsia="仿宋" w:cs="仿宋"/>
          <w:color w:val="000000" w:themeColor="text1"/>
          <w:highlight w:val="none"/>
          <w14:textFill>
            <w14:solidFill>
              <w14:schemeClr w14:val="tx1"/>
            </w14:solidFill>
          </w14:textFill>
        </w:rPr>
        <w:t>附件</w:t>
      </w:r>
      <w:bookmarkEnd w:id="191"/>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1"/>
        <w:rPr>
          <w:rFonts w:hint="eastAsia"/>
          <w:color w:val="000000" w:themeColor="text1"/>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192"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192"/>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pPr>
        <w:pStyle w:val="4"/>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93"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93"/>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2"/>
        <w:rPr>
          <w:rFonts w:hint="eastAsia"/>
          <w:color w:val="000000" w:themeColor="text1"/>
          <w:highlight w:val="none"/>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bookmarkStart w:id="194" w:name="OLE_LINK14"/>
      <w:bookmarkStart w:id="195" w:name="OLE_LINK13"/>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94"/>
    <w:bookmarkEnd w:id="195"/>
    <w:p>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34"/>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34"/>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pPr>
        <w:pStyle w:val="23"/>
        <w:rPr>
          <w:rFonts w:hint="eastAsia"/>
          <w:color w:val="000000" w:themeColor="text1"/>
          <w:highlight w:val="none"/>
          <w:lang w:val="en-US"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pPr>
        <w:rPr>
          <w:rFonts w:hint="eastAsia" w:ascii="仿宋" w:hAnsi="仿宋" w:eastAsia="仿宋" w:cs="仿宋"/>
          <w:color w:val="000000" w:themeColor="text1"/>
          <w:sz w:val="24"/>
          <w:highlight w:val="none"/>
          <w14:textFill>
            <w14:solidFill>
              <w14:schemeClr w14:val="tx1"/>
            </w14:solidFill>
          </w14:textFill>
        </w:rPr>
      </w:pPr>
    </w:p>
    <w:p>
      <w:pPr>
        <w:ind w:firstLine="420" w:firstLineChars="200"/>
        <w:rPr>
          <w:rFonts w:hint="eastAsia" w:ascii="仿宋" w:hAnsi="仿宋" w:eastAsia="仿宋" w:cs="仿宋"/>
          <w:color w:val="000000" w:themeColor="text1"/>
          <w:highlight w:val="none"/>
          <w14:textFill>
            <w14:solidFill>
              <w14:schemeClr w14:val="tx1"/>
            </w14:solidFill>
          </w14:textFill>
        </w:rPr>
      </w:pPr>
    </w:p>
    <w:p>
      <w:pPr>
        <w:spacing w:line="360" w:lineRule="auto"/>
        <w:ind w:right="420"/>
        <w:rPr>
          <w:rFonts w:hint="eastAsia" w:ascii="仿宋" w:hAnsi="仿宋" w:eastAsia="仿宋" w:cs="仿宋"/>
          <w:color w:val="000000" w:themeColor="text1"/>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p>
    <w:p>
      <w:pPr>
        <w:spacing w:line="360" w:lineRule="auto"/>
        <w:rPr>
          <w:rFonts w:ascii="宋体" w:hAnsi="宋体" w:cs="宋体"/>
          <w:bCs/>
          <w:color w:val="000000" w:themeColor="text1"/>
          <w:sz w:val="24"/>
          <w:highlight w:val="none"/>
          <w14:textFill>
            <w14:solidFill>
              <w14:schemeClr w14:val="tx1"/>
            </w14:solidFill>
          </w14:textFill>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6" w:name="_Toc36110187"/>
    <w:bookmarkStart w:id="197" w:name="_Toc131845147"/>
    <w:bookmarkStart w:id="198" w:name="_Toc91899912"/>
    <w:bookmarkStart w:id="199" w:name="_Toc164085800"/>
    <w:r>
      <w:rPr>
        <w:rFonts w:hint="eastAsia" w:ascii="仿宋_GB2312" w:eastAsia="仿宋_GB2312"/>
        <w:kern w:val="0"/>
        <w:szCs w:val="21"/>
      </w:rPr>
      <w:t xml:space="preserve"> 页</w:t>
    </w:r>
    <w:bookmarkEnd w:id="196"/>
    <w:bookmarkEnd w:id="197"/>
    <w:bookmarkEnd w:id="198"/>
    <w:bookmarkEnd w:id="19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t></w:t>
    </w:r>
  </w:p>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p>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ZJXSC-2024-339</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4ZmIwMjMxZTc3ZGNiNTFkNTBkYzI4YWJiNTQ0OGMifQ=="/>
  </w:docVars>
  <w:rsids>
    <w:rsidRoot w:val="00000000"/>
    <w:rsid w:val="006D363B"/>
    <w:rsid w:val="008B12B3"/>
    <w:rsid w:val="00983E09"/>
    <w:rsid w:val="026E2EE1"/>
    <w:rsid w:val="033E089E"/>
    <w:rsid w:val="038458C7"/>
    <w:rsid w:val="05A10891"/>
    <w:rsid w:val="06D74677"/>
    <w:rsid w:val="06FB15E8"/>
    <w:rsid w:val="0838424D"/>
    <w:rsid w:val="0983157E"/>
    <w:rsid w:val="0C8353F1"/>
    <w:rsid w:val="0ECE1DE4"/>
    <w:rsid w:val="0FA0239A"/>
    <w:rsid w:val="106D4BD0"/>
    <w:rsid w:val="13EA1322"/>
    <w:rsid w:val="14127BE9"/>
    <w:rsid w:val="14164AE9"/>
    <w:rsid w:val="169E17AF"/>
    <w:rsid w:val="18770900"/>
    <w:rsid w:val="1880083A"/>
    <w:rsid w:val="19212219"/>
    <w:rsid w:val="1ADD783B"/>
    <w:rsid w:val="1BDB5157"/>
    <w:rsid w:val="1DBF2B55"/>
    <w:rsid w:val="21542507"/>
    <w:rsid w:val="21AC3A60"/>
    <w:rsid w:val="23D63880"/>
    <w:rsid w:val="253F23A5"/>
    <w:rsid w:val="2605622A"/>
    <w:rsid w:val="26793F37"/>
    <w:rsid w:val="2A524392"/>
    <w:rsid w:val="2CDA6E57"/>
    <w:rsid w:val="2F840DD4"/>
    <w:rsid w:val="306B31D8"/>
    <w:rsid w:val="30FB174F"/>
    <w:rsid w:val="35D129A2"/>
    <w:rsid w:val="36967B0F"/>
    <w:rsid w:val="36EF6EE9"/>
    <w:rsid w:val="3BE66083"/>
    <w:rsid w:val="3D547317"/>
    <w:rsid w:val="3DF02037"/>
    <w:rsid w:val="3EFF38F6"/>
    <w:rsid w:val="3F001A9D"/>
    <w:rsid w:val="3F326AC0"/>
    <w:rsid w:val="41C6334A"/>
    <w:rsid w:val="423B4CDA"/>
    <w:rsid w:val="452A20C6"/>
    <w:rsid w:val="458817F7"/>
    <w:rsid w:val="45AD5B38"/>
    <w:rsid w:val="47326228"/>
    <w:rsid w:val="48B169CB"/>
    <w:rsid w:val="491340BF"/>
    <w:rsid w:val="4DE4148C"/>
    <w:rsid w:val="4EA43381"/>
    <w:rsid w:val="4F161A9D"/>
    <w:rsid w:val="4FAE554B"/>
    <w:rsid w:val="50C301CB"/>
    <w:rsid w:val="517400E9"/>
    <w:rsid w:val="53D9331C"/>
    <w:rsid w:val="57DAE6E1"/>
    <w:rsid w:val="598D188B"/>
    <w:rsid w:val="5D177188"/>
    <w:rsid w:val="5D6F2F67"/>
    <w:rsid w:val="5DF96873"/>
    <w:rsid w:val="5F665FB3"/>
    <w:rsid w:val="624D5214"/>
    <w:rsid w:val="634D37F4"/>
    <w:rsid w:val="642152E2"/>
    <w:rsid w:val="64E95A2C"/>
    <w:rsid w:val="65077AE2"/>
    <w:rsid w:val="65D82061"/>
    <w:rsid w:val="65FF701E"/>
    <w:rsid w:val="68E83E5E"/>
    <w:rsid w:val="6A0C6288"/>
    <w:rsid w:val="6A4C6791"/>
    <w:rsid w:val="6AEF1016"/>
    <w:rsid w:val="6C1556D0"/>
    <w:rsid w:val="6CE54E57"/>
    <w:rsid w:val="6F386B71"/>
    <w:rsid w:val="70BC75C1"/>
    <w:rsid w:val="729E74BD"/>
    <w:rsid w:val="735F212F"/>
    <w:rsid w:val="74D508E1"/>
    <w:rsid w:val="782477E1"/>
    <w:rsid w:val="7CA34238"/>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9651</Words>
  <Characters>10379</Characters>
  <Paragraphs>2030</Paragraphs>
  <TotalTime>5</TotalTime>
  <ScaleCrop>false</ScaleCrop>
  <LinksUpToDate>false</LinksUpToDate>
  <CharactersWithSpaces>11918</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2024-11-25T06:57:25Z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837197FC00114721A7C47FE88599DE29_13</vt:lpwstr>
  </property>
</Properties>
</file>