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bookmarkStart w:id="169" w:name="_GoBack"/>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绍兴市中医院胃肠镜镜子及全自动摆药机保修项目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pPr>
        <w:jc w:val="both"/>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TYJZ2024011</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2"/>
        <w:tblW w:w="8548" w:type="dxa"/>
        <w:tblInd w:w="0" w:type="dxa"/>
        <w:tblLayout w:type="fixed"/>
        <w:tblCellMar>
          <w:top w:w="0" w:type="dxa"/>
          <w:left w:w="0" w:type="dxa"/>
          <w:bottom w:w="0" w:type="dxa"/>
          <w:right w:w="0" w:type="dxa"/>
        </w:tblCellMar>
      </w:tblPr>
      <w:tblGrid>
        <w:gridCol w:w="8548"/>
      </w:tblGrid>
      <w:tr>
        <w:tblPrEx>
          <w:tblCellMar>
            <w:top w:w="0" w:type="dxa"/>
            <w:left w:w="0" w:type="dxa"/>
            <w:bottom w:w="0" w:type="dxa"/>
            <w:right w:w="0" w:type="dxa"/>
          </w:tblCellMar>
        </w:tblPrEx>
        <w:tc>
          <w:tcPr>
            <w:tcW w:w="8548"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2"/>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234" w:type="dxa"/>
                </w:tcPr>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绍兴市中医院胃肠镜镜子及全自动摆药机保修项目</w:t>
                  </w:r>
                  <w:r>
                    <w:rPr>
                      <w:rFonts w:hint="eastAsia" w:ascii="仿宋" w:hAnsi="仿宋" w:eastAsia="仿宋" w:cs="仿宋"/>
                      <w:color w:val="auto"/>
                      <w:szCs w:val="24"/>
                      <w:highlight w:val="none"/>
                    </w:rPr>
                    <w:t>的潜在投标人应在</w:t>
                  </w:r>
                  <w:r>
                    <w:rPr>
                      <w:rStyle w:val="279"/>
                      <w:rFonts w:hint="eastAsia" w:ascii="仿宋" w:hAnsi="仿宋" w:eastAsia="仿宋" w:cs="仿宋"/>
                      <w:color w:val="auto"/>
                      <w:sz w:val="27"/>
                      <w:szCs w:val="27"/>
                      <w:highlight w:val="none"/>
                    </w:rPr>
                    <w:t>https://www.zcygov.cn</w:t>
                  </w:r>
                  <w:r>
                    <w:rPr>
                      <w:rFonts w:hint="eastAsia" w:ascii="仿宋" w:hAnsi="仿宋" w:eastAsia="仿宋" w:cs="仿宋"/>
                      <w:color w:val="auto"/>
                      <w:szCs w:val="24"/>
                      <w:highlight w:val="none"/>
                    </w:rPr>
                    <w:t>获取（下载）招标文件，并于202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09:00（北京时间）前递交（上传）投标文件。</w:t>
                  </w:r>
                </w:p>
              </w:tc>
            </w:tr>
          </w:tbl>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TYJZ2024011</w:t>
            </w:r>
          </w:p>
          <w:p>
            <w:pPr>
              <w:pStyle w:val="7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绍兴市中医院胃肠镜镜子及全自动摆药机保修项目</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45</w:t>
            </w:r>
            <w:r>
              <w:rPr>
                <w:rFonts w:hint="eastAsia" w:ascii="仿宋" w:hAnsi="仿宋" w:eastAsia="仿宋" w:cs="仿宋"/>
                <w:color w:val="auto"/>
                <w:szCs w:val="24"/>
                <w:highlight w:val="none"/>
                <w:lang w:eastAsia="zh-CN"/>
              </w:rPr>
              <w:t>0000</w:t>
            </w:r>
          </w:p>
          <w:p>
            <w:pPr>
              <w:pStyle w:val="7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lang w:eastAsia="zh-CN"/>
              </w:rPr>
              <w:t>0000，</w:t>
            </w:r>
            <w:r>
              <w:rPr>
                <w:rFonts w:hint="eastAsia" w:ascii="仿宋" w:hAnsi="仿宋" w:eastAsia="仿宋" w:cs="仿宋"/>
                <w:color w:val="auto"/>
                <w:szCs w:val="24"/>
                <w:highlight w:val="none"/>
                <w:lang w:val="en-US" w:eastAsia="zh-CN"/>
              </w:rPr>
              <w:t>18</w:t>
            </w:r>
            <w:r>
              <w:rPr>
                <w:rFonts w:hint="eastAsia" w:ascii="仿宋" w:hAnsi="仿宋" w:eastAsia="仿宋" w:cs="仿宋"/>
                <w:color w:val="auto"/>
                <w:szCs w:val="24"/>
                <w:highlight w:val="none"/>
                <w:lang w:eastAsia="zh-CN"/>
              </w:rPr>
              <w:t>0000</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胃肠镜镜子</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预算金额（元）: </w:t>
            </w:r>
            <w:r>
              <w:rPr>
                <w:rFonts w:hint="eastAsia" w:ascii="仿宋" w:hAnsi="仿宋" w:eastAsia="仿宋" w:cs="仿宋"/>
                <w:color w:val="auto"/>
                <w:szCs w:val="24"/>
                <w:highlight w:val="none"/>
                <w:lang w:val="en-US" w:eastAsia="zh-CN"/>
              </w:rPr>
              <w:t>27</w:t>
            </w:r>
            <w:r>
              <w:rPr>
                <w:rFonts w:hint="eastAsia" w:ascii="仿宋" w:hAnsi="仿宋" w:eastAsia="仿宋" w:cs="仿宋"/>
                <w:color w:val="auto"/>
                <w:szCs w:val="24"/>
                <w:highlight w:val="none"/>
                <w:lang w:eastAsia="zh-CN"/>
              </w:rPr>
              <w:t>0000</w:t>
            </w:r>
            <w:r>
              <w:rPr>
                <w:rFonts w:hint="eastAsia" w:ascii="仿宋" w:hAnsi="仿宋" w:eastAsia="仿宋" w:cs="仿宋"/>
                <w:color w:val="auto"/>
                <w:szCs w:val="24"/>
                <w:highlight w:val="none"/>
              </w:rPr>
              <w:t>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简要规格描述或项目基本概况介绍、用途：详见采购文件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备注：无</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eastAsia="zh-CN"/>
              </w:rPr>
              <w:t>二</w:t>
            </w:r>
            <w:r>
              <w:rPr>
                <w:rFonts w:hint="eastAsia" w:ascii="仿宋" w:hAnsi="仿宋" w:eastAsia="仿宋" w:cs="仿宋"/>
                <w:color w:val="auto"/>
                <w:szCs w:val="24"/>
                <w:highlight w:val="none"/>
              </w:rPr>
              <w:t>:</w:t>
            </w:r>
          </w:p>
          <w:p>
            <w:pPr>
              <w:pStyle w:val="7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全自动摆药机</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预算金额（元）: </w:t>
            </w:r>
            <w:r>
              <w:rPr>
                <w:rFonts w:hint="eastAsia" w:ascii="仿宋" w:hAnsi="仿宋" w:eastAsia="仿宋" w:cs="仿宋"/>
                <w:color w:val="auto"/>
                <w:szCs w:val="24"/>
                <w:highlight w:val="none"/>
                <w:lang w:val="en-US" w:eastAsia="zh-CN"/>
              </w:rPr>
              <w:t>18</w:t>
            </w:r>
            <w:r>
              <w:rPr>
                <w:rFonts w:hint="eastAsia" w:ascii="仿宋" w:hAnsi="仿宋" w:eastAsia="仿宋" w:cs="仿宋"/>
                <w:color w:val="auto"/>
                <w:szCs w:val="24"/>
                <w:highlight w:val="none"/>
                <w:lang w:eastAsia="zh-CN"/>
              </w:rPr>
              <w:t>0000</w:t>
            </w:r>
            <w:r>
              <w:rPr>
                <w:rFonts w:hint="eastAsia" w:ascii="仿宋" w:hAnsi="仿宋" w:eastAsia="仿宋" w:cs="仿宋"/>
                <w:color w:val="auto"/>
                <w:szCs w:val="24"/>
                <w:highlight w:val="none"/>
              </w:rPr>
              <w:t>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简要规格描述或项目基本概况介绍、用途：详见采购文件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备注：无</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0"/>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0"/>
              <w:spacing w:afterLines="0" w:line="440" w:lineRule="exact"/>
              <w:ind w:firstLine="420"/>
              <w:rPr>
                <w:rFonts w:hint="eastAsia" w:ascii="仿宋" w:hAnsi="仿宋" w:eastAsia="仿宋" w:cs="仿宋"/>
                <w:color w:val="auto"/>
                <w:szCs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993" w:firstLineChars="473"/>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highlight w:val="none"/>
                      </w:rPr>
                      <w:sym w:font="Wingdings" w:char="00FE"/>
                    </w:r>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4.本项目的特定资格要求：无</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时间：/至202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年月日，每天上午00:00至12:00 ，下午12:00至23:59（北京时间，线上获取法定节假日均可，线下获取文件法定节假日除外）</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09:00（北京时间）</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开标地点（网址）：在政府采购云平台（www.zcygov.cn）上开启响应文件。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绍兴市中医院</w:t>
            </w:r>
            <w:r>
              <w:rPr>
                <w:rFonts w:hint="eastAsia" w:ascii="仿宋" w:hAnsi="仿宋" w:eastAsia="仿宋" w:cs="仿宋"/>
                <w:color w:val="auto"/>
                <w:szCs w:val="24"/>
                <w:highlight w:val="none"/>
              </w:rPr>
              <w:t>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绍兴市越城区人民中路651号</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pPr>
              <w:pStyle w:val="7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傅利萍</w:t>
            </w:r>
          </w:p>
          <w:p>
            <w:pPr>
              <w:pStyle w:val="70"/>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kern w:val="0"/>
                <w:sz w:val="24"/>
                <w:highlight w:val="none"/>
              </w:rPr>
              <w:t>0575-8910</w:t>
            </w:r>
            <w:r>
              <w:rPr>
                <w:rFonts w:hint="eastAsia" w:ascii="仿宋" w:hAnsi="仿宋" w:eastAsia="仿宋" w:cs="仿宋"/>
                <w:color w:val="auto"/>
                <w:kern w:val="0"/>
                <w:sz w:val="24"/>
                <w:highlight w:val="none"/>
                <w:lang w:val="en-US" w:eastAsia="zh-CN"/>
              </w:rPr>
              <w:t>9951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pStyle w:val="70"/>
              <w:spacing w:afterLines="0" w:line="440" w:lineRule="exact"/>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pStyle w:val="70"/>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2.采购代理机构信息       </w:t>
            </w:r>
            <w:r>
              <w:rPr>
                <w:rFonts w:hint="eastAsia" w:ascii="仿宋" w:hAnsi="仿宋" w:eastAsia="仿宋" w:cs="仿宋"/>
                <w:color w:val="auto"/>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质疑联系方式：0575-85080066</w:t>
            </w:r>
            <w:r>
              <w:rPr>
                <w:rFonts w:hint="eastAsia" w:ascii="仿宋" w:hAnsi="仿宋" w:eastAsia="仿宋" w:cs="仿宋"/>
                <w:color w:val="auto"/>
                <w:szCs w:val="24"/>
                <w:highlight w:val="none"/>
              </w:rPr>
              <w:t>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eastAsia="zh-CN"/>
              </w:rPr>
              <w:t>张婷婷</w:t>
            </w:r>
            <w:r>
              <w:rPr>
                <w:rFonts w:hint="eastAsia" w:ascii="仿宋" w:hAnsi="仿宋" w:eastAsia="仿宋" w:cs="仿宋"/>
                <w:color w:val="auto"/>
                <w:szCs w:val="24"/>
                <w:highlight w:val="none"/>
              </w:rPr>
              <w:t xml:space="preserve">      </w:t>
            </w:r>
          </w:p>
          <w:p>
            <w:pPr>
              <w:pStyle w:val="7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tblPrEx>
          <w:tblCellMar>
            <w:top w:w="0" w:type="dxa"/>
            <w:left w:w="0" w:type="dxa"/>
            <w:bottom w:w="0" w:type="dxa"/>
            <w:right w:w="0" w:type="dxa"/>
          </w:tblCellMar>
        </w:tblPrEx>
        <w:tc>
          <w:tcPr>
            <w:tcW w:w="8548"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szCs w:val="21"/>
                  <w:highlight w:val="none"/>
                </w:rPr>
                <w:id w:val="-74078883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2" w:char="0052"/>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详见配置需求和评标办法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年  月日 09:00（北京时间）前（开标当天送达）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20" w:lineRule="exact"/>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727868"/>
                    <w:showingPlcHdr/>
                  </w:sdtPr>
                  <w:sdtEndPr>
                    <w:rPr>
                      <w:rFonts w:hint="eastAsia" w:ascii="仿宋" w:hAnsi="仿宋" w:eastAsia="仿宋" w:cs="仿宋"/>
                      <w:color w:val="auto"/>
                      <w:kern w:val="0"/>
                      <w:sz w:val="24"/>
                      <w:highlight w:val="none"/>
                    </w:rPr>
                  </w:sdtEndP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ind w:left="-18" w:leftChars="-9" w:right="-50" w:rightChars="-24"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u w:val="single"/>
              </w:rPr>
              <w:t xml:space="preserve">  01标</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02标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其他未列明行业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w:t>
      </w:r>
      <w:r>
        <w:rPr>
          <w:rFonts w:hint="eastAsia" w:ascii="仿宋" w:hAnsi="仿宋" w:eastAsia="仿宋" w:cs="仿宋"/>
          <w:color w:val="auto"/>
          <w:sz w:val="24"/>
          <w:highlight w:val="none"/>
          <w:lang w:eastAsia="zh-CN"/>
        </w:rPr>
        <w:t>代理</w:t>
      </w:r>
      <w:r>
        <w:rPr>
          <w:rFonts w:hint="eastAsia" w:ascii="仿宋" w:hAnsi="仿宋" w:eastAsia="仿宋" w:cs="仿宋"/>
          <w:color w:val="auto"/>
          <w:sz w:val="24"/>
          <w:highlight w:val="none"/>
        </w:rPr>
        <w:t>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5"/>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3"/>
        <w:snapToGrid w:val="0"/>
        <w:spacing w:line="440" w:lineRule="exact"/>
        <w:rPr>
          <w:rFonts w:hint="eastAsia" w:ascii="仿宋" w:hAnsi="仿宋" w:eastAsia="仿宋" w:cs="仿宋"/>
          <w:color w:val="auto"/>
          <w:sz w:val="24"/>
          <w:highlight w:val="none"/>
          <w:lang w:val="zh-CN"/>
        </w:rPr>
      </w:pPr>
      <w:bookmarkStart w:id="1" w:name="_Hlt68072998"/>
      <w:bookmarkEnd w:id="1"/>
      <w:bookmarkStart w:id="2" w:name="_Hlt68403820"/>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3.6评</w:t>
      </w:r>
      <w:r>
        <w:rPr>
          <w:rFonts w:hint="eastAsia" w:ascii="仿宋" w:hAnsi="仿宋" w:eastAsia="仿宋" w:cs="仿宋"/>
          <w:color w:val="auto"/>
          <w:sz w:val="24"/>
          <w:highlight w:val="none"/>
        </w:rPr>
        <w:t>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bookmarkStart w:id="4" w:name="_Toc84325929"/>
      <w:bookmarkStart w:id="5" w:name="_Toc81372953"/>
      <w:bookmarkStart w:id="6" w:name="_Toc81372776"/>
      <w:r>
        <w:rPr>
          <w:rFonts w:hint="eastAsia" w:ascii="仿宋" w:hAnsi="仿宋" w:eastAsia="仿宋" w:cs="仿宋"/>
          <w:b/>
          <w:color w:val="auto"/>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4"/>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9"/>
          <w:rFonts w:hint="eastAsia" w:ascii="仿宋" w:hAnsi="仿宋" w:eastAsia="仿宋" w:cs="仿宋"/>
          <w:color w:val="auto"/>
          <w:kern w:val="0"/>
          <w:highlight w:val="none"/>
        </w:rPr>
        <w:t>http://zfcg.czt.zj.gov.cn/</w:t>
      </w:r>
      <w:r>
        <w:rPr>
          <w:rStyle w:val="49"/>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Style w:val="49"/>
          <w:rFonts w:hint="eastAsia" w:ascii="仿宋" w:hAnsi="仿宋" w:eastAsia="仿宋" w:cs="仿宋"/>
          <w:color w:val="auto"/>
          <w:highlight w:val="none"/>
        </w:rPr>
        <w:t>http://ggb.sx.gov.cn</w:t>
      </w:r>
      <w:r>
        <w:rPr>
          <w:rStyle w:val="49"/>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70"/>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70"/>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70"/>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70"/>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70"/>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19"/>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19"/>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6"/>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highlight w:val="none"/>
        </w:rPr>
      </w:pPr>
      <w:bookmarkStart w:id="7" w:name="_Toc151354173"/>
      <w:bookmarkStart w:id="8" w:name="_Toc80157775"/>
      <w:bookmarkStart w:id="9" w:name="_Toc84325981"/>
      <w:bookmarkStart w:id="10" w:name="_Toc81372964"/>
      <w:bookmarkStart w:id="11" w:name="_Toc81372787"/>
      <w:r>
        <w:rPr>
          <w:rFonts w:hint="eastAsia" w:ascii="仿宋" w:hAnsi="仿宋" w:eastAsia="仿宋" w:cs="仿宋"/>
          <w:b/>
          <w:color w:val="auto"/>
          <w:sz w:val="24"/>
          <w:highlight w:val="none"/>
        </w:rPr>
        <w:t>8.招标项目设备名称及数量：</w:t>
      </w:r>
    </w:p>
    <w:bookmarkEnd w:id="7"/>
    <w:p>
      <w:pPr>
        <w:pStyle w:val="70"/>
        <w:widowControl w:val="0"/>
        <w:spacing w:afterLines="0" w:line="440" w:lineRule="exact"/>
        <w:ind w:firstLine="482" w:firstLineChars="200"/>
        <w:rPr>
          <w:rFonts w:hint="eastAsia" w:ascii="仿宋" w:hAnsi="仿宋" w:eastAsia="仿宋" w:cs="仿宋"/>
          <w:b/>
          <w:color w:val="auto"/>
          <w:sz w:val="24"/>
          <w:szCs w:val="24"/>
          <w:highlight w:val="none"/>
          <w:lang w:val="en-US" w:eastAsia="zh-CN"/>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szCs w:val="24"/>
          <w:highlight w:val="none"/>
          <w:lang w:val="en-US" w:eastAsia="zh-CN"/>
        </w:rPr>
        <w:t>胃肠镜镜子</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本项目</w:t>
      </w:r>
      <w:r>
        <w:rPr>
          <w:rFonts w:hint="eastAsia" w:ascii="仿宋" w:hAnsi="仿宋" w:eastAsia="仿宋" w:cs="仿宋"/>
          <w:b/>
          <w:color w:val="auto"/>
          <w:sz w:val="24"/>
          <w:szCs w:val="24"/>
          <w:highlight w:val="none"/>
        </w:rPr>
        <w:t>上限价：</w:t>
      </w:r>
      <w:r>
        <w:rPr>
          <w:rFonts w:hint="eastAsia" w:ascii="仿宋" w:hAnsi="仿宋" w:eastAsia="仿宋" w:cs="仿宋"/>
          <w:b/>
          <w:color w:val="auto"/>
          <w:sz w:val="24"/>
          <w:szCs w:val="24"/>
          <w:highlight w:val="none"/>
          <w:lang w:val="en-US" w:eastAsia="zh-CN"/>
        </w:rPr>
        <w:t>27</w:t>
      </w:r>
      <w:r>
        <w:rPr>
          <w:rFonts w:hint="eastAsia" w:ascii="仿宋" w:hAnsi="仿宋" w:eastAsia="仿宋" w:cs="仿宋"/>
          <w:b/>
          <w:color w:val="auto"/>
          <w:sz w:val="24"/>
          <w:szCs w:val="24"/>
          <w:highlight w:val="none"/>
        </w:rPr>
        <w:t>万元</w:t>
      </w:r>
      <w:r>
        <w:rPr>
          <w:rFonts w:hint="eastAsia" w:ascii="仿宋" w:hAnsi="仿宋" w:eastAsia="仿宋" w:cs="仿宋"/>
          <w:b/>
          <w:color w:val="auto"/>
          <w:sz w:val="24"/>
          <w:szCs w:val="24"/>
          <w:highlight w:val="none"/>
          <w:lang w:val="en-US" w:eastAsia="zh-CN"/>
        </w:rPr>
        <w:t>/3年;</w:t>
      </w: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color w:val="auto"/>
          <w:sz w:val="24"/>
          <w:szCs w:val="24"/>
          <w:highlight w:val="none"/>
          <w:lang w:val="en-US" w:eastAsia="zh-CN"/>
        </w:rPr>
        <w:t>全自动摆药机</w:t>
      </w:r>
      <w:r>
        <w:rPr>
          <w:rFonts w:hint="eastAsia" w:ascii="仿宋" w:hAnsi="仿宋" w:eastAsia="仿宋" w:cs="仿宋"/>
          <w:b/>
          <w:color w:val="auto"/>
          <w:sz w:val="24"/>
          <w:szCs w:val="24"/>
          <w:highlight w:val="none"/>
          <w:lang w:eastAsia="zh-CN"/>
        </w:rPr>
        <w:t>，本项目上限价：</w:t>
      </w:r>
      <w:r>
        <w:rPr>
          <w:rFonts w:hint="eastAsia" w:ascii="仿宋" w:hAnsi="仿宋" w:eastAsia="仿宋" w:cs="仿宋"/>
          <w:b/>
          <w:color w:val="auto"/>
          <w:sz w:val="24"/>
          <w:szCs w:val="24"/>
          <w:highlight w:val="none"/>
          <w:lang w:val="en-US" w:eastAsia="zh-CN"/>
        </w:rPr>
        <w:t>18</w:t>
      </w:r>
      <w:r>
        <w:rPr>
          <w:rFonts w:hint="eastAsia" w:ascii="仿宋" w:hAnsi="仿宋" w:eastAsia="仿宋" w:cs="仿宋"/>
          <w:b/>
          <w:color w:val="auto"/>
          <w:sz w:val="24"/>
          <w:szCs w:val="24"/>
          <w:highlight w:val="none"/>
          <w:lang w:eastAsia="zh-CN"/>
        </w:rPr>
        <w:t>万元</w:t>
      </w:r>
      <w:r>
        <w:rPr>
          <w:rFonts w:hint="eastAsia" w:ascii="仿宋" w:hAnsi="仿宋" w:eastAsia="仿宋" w:cs="仿宋"/>
          <w:b/>
          <w:color w:val="auto"/>
          <w:sz w:val="24"/>
          <w:szCs w:val="24"/>
          <w:highlight w:val="none"/>
          <w:lang w:val="en-US" w:eastAsia="zh-CN"/>
        </w:rPr>
        <w:t>/3年</w:t>
      </w:r>
    </w:p>
    <w:p>
      <w:pPr>
        <w:pStyle w:val="70"/>
        <w:widowControl w:val="0"/>
        <w:numPr>
          <w:ilvl w:val="0"/>
          <w:numId w:val="6"/>
        </w:numPr>
        <w:spacing w:afterLines="0" w:line="440" w:lineRule="exact"/>
        <w:ind w:left="600" w:leftChars="0" w:firstLine="0" w:firstLineChars="0"/>
        <w:rPr>
          <w:rFonts w:hint="eastAsia" w:ascii="仿宋" w:hAnsi="仿宋" w:eastAsia="仿宋" w:cs="仿宋"/>
          <w:b/>
          <w:bCs/>
          <w:color w:val="auto"/>
          <w:szCs w:val="21"/>
          <w:highlight w:val="none"/>
          <w:lang w:val="en-US" w:eastAsia="zh-CN"/>
        </w:rPr>
      </w:pPr>
      <w:r>
        <w:rPr>
          <w:rFonts w:hint="eastAsia" w:ascii="仿宋" w:hAnsi="仿宋" w:eastAsia="仿宋" w:cs="仿宋"/>
          <w:bCs/>
          <w:color w:val="auto"/>
          <w:sz w:val="24"/>
          <w:highlight w:val="none"/>
        </w:rPr>
        <w:br w:type="page"/>
      </w:r>
      <w:r>
        <w:rPr>
          <w:rFonts w:hint="eastAsia" w:ascii="仿宋" w:hAnsi="仿宋" w:eastAsia="仿宋" w:cs="仿宋"/>
          <w:b/>
          <w:bCs/>
          <w:color w:val="auto"/>
          <w:szCs w:val="21"/>
          <w:highlight w:val="none"/>
          <w:lang w:val="en-US" w:eastAsia="zh-CN"/>
        </w:rPr>
        <w:t>主要技术参数</w:t>
      </w:r>
    </w:p>
    <w:p>
      <w:pPr>
        <w:pStyle w:val="70"/>
        <w:widowControl w:val="0"/>
        <w:numPr>
          <w:ilvl w:val="0"/>
          <w:numId w:val="0"/>
        </w:numPr>
        <w:spacing w:afterLines="0" w:line="440" w:lineRule="exact"/>
        <w:ind w:left="600" w:leftChars="0"/>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sz w:val="24"/>
          <w:szCs w:val="24"/>
          <w:highlight w:val="none"/>
          <w:lang w:val="en-US" w:eastAsia="zh-CN"/>
        </w:rPr>
        <w:t>胃肠镜镜子</w:t>
      </w:r>
      <w:r>
        <w:rPr>
          <w:rFonts w:hint="eastAsia" w:ascii="仿宋" w:hAnsi="仿宋" w:eastAsia="仿宋" w:cs="仿宋"/>
          <w:b/>
          <w:color w:val="auto"/>
          <w:sz w:val="24"/>
          <w:szCs w:val="24"/>
          <w:highlight w:val="none"/>
        </w:rPr>
        <w:t>，上限价：</w:t>
      </w:r>
      <w:r>
        <w:rPr>
          <w:rFonts w:hint="eastAsia" w:ascii="仿宋" w:hAnsi="仿宋" w:eastAsia="仿宋" w:cs="仿宋"/>
          <w:b/>
          <w:color w:val="auto"/>
          <w:sz w:val="24"/>
          <w:szCs w:val="24"/>
          <w:highlight w:val="none"/>
          <w:lang w:val="en-US" w:eastAsia="zh-CN"/>
        </w:rPr>
        <w:t>27</w:t>
      </w:r>
      <w:r>
        <w:rPr>
          <w:rFonts w:hint="eastAsia" w:ascii="仿宋" w:hAnsi="仿宋" w:eastAsia="仿宋" w:cs="仿宋"/>
          <w:b/>
          <w:color w:val="auto"/>
          <w:sz w:val="24"/>
          <w:szCs w:val="24"/>
          <w:highlight w:val="none"/>
        </w:rPr>
        <w:t>万元</w:t>
      </w:r>
      <w:r>
        <w:rPr>
          <w:rFonts w:hint="eastAsia" w:ascii="仿宋" w:hAnsi="仿宋" w:eastAsia="仿宋" w:cs="仿宋"/>
          <w:b/>
          <w:color w:val="auto"/>
          <w:sz w:val="24"/>
          <w:szCs w:val="24"/>
          <w:highlight w:val="none"/>
          <w:lang w:val="en-US" w:eastAsia="zh-CN"/>
        </w:rPr>
        <w:t>/3年</w:t>
      </w:r>
    </w:p>
    <w:tbl>
      <w:tblPr>
        <w:tblStyle w:val="42"/>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8248" w:type="dxa"/>
            <w:noWrap w:val="0"/>
            <w:vAlign w:val="center"/>
          </w:tcPr>
          <w:p>
            <w:pPr>
              <w:spacing w:after="0" w:line="24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1</w:t>
            </w:r>
          </w:p>
        </w:tc>
        <w:tc>
          <w:tcPr>
            <w:tcW w:w="824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保修内容：</w:t>
            </w:r>
            <w:r>
              <w:rPr>
                <w:rFonts w:hint="eastAsia" w:ascii="仿宋" w:hAnsi="仿宋" w:eastAsia="仿宋" w:cs="仿宋"/>
                <w:color w:val="auto"/>
                <w:sz w:val="21"/>
                <w:szCs w:val="21"/>
                <w:highlight w:val="none"/>
                <w:lang w:eastAsia="zh-CN"/>
              </w:rPr>
              <w:t>胃肠镜镜子</w:t>
            </w:r>
            <w:r>
              <w:rPr>
                <w:rFonts w:hint="eastAsia" w:ascii="仿宋" w:hAnsi="仿宋" w:eastAsia="仿宋" w:cs="仿宋"/>
                <w:color w:val="auto"/>
                <w:sz w:val="21"/>
                <w:szCs w:val="21"/>
                <w:highlight w:val="none"/>
                <w:lang w:val="en-US" w:eastAsia="zh-CN"/>
              </w:rPr>
              <w:t>3支，</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电子胃镜 型号GIF-H290 编号2849925；</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放大电子胃镜 型号GIF-H260Z 编号2835457；</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电子肠镜 型号CF-H290I 编号2843574。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2</w:t>
            </w:r>
          </w:p>
        </w:tc>
        <w:tc>
          <w:tcPr>
            <w:tcW w:w="824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保修形式：</w:t>
            </w:r>
            <w:r>
              <w:rPr>
                <w:rFonts w:hint="eastAsia" w:ascii="仿宋" w:hAnsi="仿宋" w:eastAsia="仿宋" w:cs="仿宋"/>
                <w:color w:val="auto"/>
                <w:sz w:val="21"/>
                <w:szCs w:val="21"/>
                <w:highlight w:val="none"/>
                <w:u w:val="single"/>
              </w:rPr>
              <w:t xml:space="preserve">  全保 </w:t>
            </w:r>
            <w:r>
              <w:rPr>
                <w:rFonts w:hint="eastAsia" w:ascii="仿宋" w:hAnsi="仿宋" w:eastAsia="仿宋" w:cs="仿宋"/>
                <w:color w:val="auto"/>
                <w:sz w:val="21"/>
                <w:szCs w:val="21"/>
                <w:highlight w:val="none"/>
              </w:rPr>
              <w:t>，在保修服务期内免费提供所有保修所需备件及需定期更换的耗品。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3</w:t>
            </w:r>
          </w:p>
        </w:tc>
        <w:tc>
          <w:tcPr>
            <w:tcW w:w="824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方案提供：投标人应承诺按照国家、行业标准规定，出具一项完善、合理和可行的维保服务方案，方案中应体现针对本项目的内镜中心用的电子镜进行系统、全面维保所必须的具体措施，人员配置，质量保证、时间安排等内容，以使设备高效、正常运作，确保设备达到临床应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color w:val="auto"/>
                <w:sz w:val="21"/>
                <w:szCs w:val="21"/>
                <w:highlight w:val="none"/>
                <w:lang w:eastAsia="zh-CN"/>
              </w:rPr>
              <w:t>▲</w:t>
            </w:r>
            <w:r>
              <w:rPr>
                <w:rFonts w:hint="eastAsia" w:ascii="仿宋" w:hAnsi="仿宋" w:eastAsia="仿宋" w:cs="仿宋"/>
                <w:b/>
                <w:color w:val="auto"/>
                <w:sz w:val="21"/>
                <w:szCs w:val="21"/>
                <w:highlight w:val="none"/>
              </w:rPr>
              <w:t>4</w:t>
            </w:r>
          </w:p>
        </w:tc>
        <w:tc>
          <w:tcPr>
            <w:tcW w:w="824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配件保障：</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4.1</w:t>
            </w:r>
            <w:r>
              <w:rPr>
                <w:rFonts w:hint="eastAsia" w:ascii="仿宋" w:hAnsi="仿宋" w:eastAsia="仿宋" w:cs="仿宋"/>
                <w:color w:val="auto"/>
                <w:sz w:val="21"/>
                <w:szCs w:val="21"/>
                <w:highlight w:val="none"/>
              </w:rPr>
              <w:t>投标人须保证在在采购人所在城市或周边城市（省级）设有备件库（须提供相关证明材料），具备充足的配件供应能力。</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4.1</w:t>
            </w:r>
            <w:r>
              <w:rPr>
                <w:rFonts w:hint="eastAsia" w:ascii="仿宋" w:hAnsi="仿宋" w:eastAsia="仿宋" w:cs="仿宋"/>
                <w:color w:val="auto"/>
                <w:sz w:val="21"/>
                <w:szCs w:val="21"/>
                <w:highlight w:val="none"/>
              </w:rPr>
              <w:t>投标人所提供的零配件具有规范的进货渠道，所有零配件为原厂原装全新配件，每次更换的零配件需提供厂家相应证明材料，进口配件须提供报关证明，重要部件需提供出厂检测报告，所有更换配件应与机器匹配，确保维保后设备质量达到厂家性能指标，并符合厂家或法定部门检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lang w:val="en-US" w:eastAsia="zh-CN" w:bidi="ar-SA"/>
              </w:rPr>
              <w:t>5</w:t>
            </w:r>
          </w:p>
        </w:tc>
        <w:tc>
          <w:tcPr>
            <w:tcW w:w="824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人员保障：投标人应具有强大技术保障团队，具有承担本项目所必须的专业技术工程师人数2名，工程师经原厂技术培训并获得资格认定</w:t>
            </w:r>
            <w:r>
              <w:rPr>
                <w:rFonts w:hint="eastAsia" w:ascii="仿宋" w:hAnsi="仿宋" w:eastAsia="仿宋" w:cs="仿宋"/>
                <w:color w:val="auto"/>
                <w:sz w:val="21"/>
                <w:szCs w:val="21"/>
                <w:highlight w:val="none"/>
                <w:lang w:eastAsia="zh-CN"/>
              </w:rPr>
              <w:t>（投标时提供相关资料）</w:t>
            </w:r>
            <w:r>
              <w:rPr>
                <w:rFonts w:hint="eastAsia" w:ascii="仿宋" w:hAnsi="仿宋" w:eastAsia="仿宋" w:cs="仿宋"/>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6</w:t>
            </w:r>
          </w:p>
        </w:tc>
        <w:tc>
          <w:tcPr>
            <w:tcW w:w="824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质量保障：服务期内，投标人应承诺提供完善的质量保证措施，确保维修检测、使用培训及时、规范，保持镜子完好率为100%。定期维护结束后，向用户方提交详细的书面报告，总结维保内容，分析故障原因，提出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color w:val="auto"/>
                <w:sz w:val="21"/>
                <w:szCs w:val="21"/>
                <w:highlight w:val="none"/>
                <w:lang w:eastAsia="zh-CN"/>
              </w:rPr>
              <w:t>▲</w:t>
            </w:r>
            <w:r>
              <w:rPr>
                <w:rFonts w:hint="eastAsia" w:ascii="仿宋" w:hAnsi="仿宋" w:eastAsia="仿宋" w:cs="仿宋"/>
                <w:b/>
                <w:color w:val="auto"/>
                <w:sz w:val="21"/>
                <w:szCs w:val="21"/>
                <w:highlight w:val="none"/>
              </w:rPr>
              <w:t>7</w:t>
            </w:r>
          </w:p>
        </w:tc>
        <w:tc>
          <w:tcPr>
            <w:tcW w:w="824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响应保障：</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7.1</w:t>
            </w:r>
            <w:r>
              <w:rPr>
                <w:rFonts w:hint="eastAsia" w:ascii="仿宋" w:hAnsi="仿宋" w:eastAsia="仿宋" w:cs="仿宋"/>
                <w:color w:val="auto"/>
                <w:sz w:val="21"/>
                <w:szCs w:val="21"/>
                <w:highlight w:val="none"/>
              </w:rPr>
              <w:t>为提供快速响应服务，投标人应对采购人所在城市或周边城市（省级）设立常驻服务机构。并承诺提供每周 7*24 小时服务支持，当设备出现故障时，供应商须在 2 小时内响应，提供电话技术支持。</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7.2</w:t>
            </w:r>
            <w:r>
              <w:rPr>
                <w:rFonts w:hint="eastAsia" w:ascii="仿宋" w:hAnsi="仿宋" w:eastAsia="仿宋" w:cs="仿宋"/>
                <w:color w:val="auto"/>
                <w:sz w:val="21"/>
                <w:szCs w:val="21"/>
                <w:highlight w:val="none"/>
              </w:rPr>
              <w:t>如电话解决不了设备故障，寄送镜子维修，确保镜子从送修到修复在</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个工作日内完成，无法修复的，需提供备用镜子，确保不影响采购人正常开展工作；为提供更专业、便捷的维修服务，投标人必须具备800或400客户服务专线电话。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8</w:t>
            </w:r>
          </w:p>
        </w:tc>
        <w:tc>
          <w:tcPr>
            <w:tcW w:w="824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其他保障：</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8.1</w:t>
            </w:r>
            <w:r>
              <w:rPr>
                <w:rFonts w:hint="eastAsia" w:ascii="仿宋" w:hAnsi="仿宋" w:eastAsia="仿宋" w:cs="仿宋"/>
                <w:color w:val="auto"/>
                <w:sz w:val="21"/>
                <w:szCs w:val="21"/>
                <w:highlight w:val="none"/>
              </w:rPr>
              <w:t>在服务期内，如设备厂家对内镜主机系统有免费软件升级服务时，投标人应免费提供；</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8.2</w:t>
            </w:r>
            <w:r>
              <w:rPr>
                <w:rFonts w:hint="eastAsia" w:ascii="仿宋" w:hAnsi="仿宋" w:eastAsia="仿宋" w:cs="仿宋"/>
                <w:color w:val="auto"/>
                <w:sz w:val="21"/>
                <w:szCs w:val="21"/>
                <w:highlight w:val="none"/>
              </w:rPr>
              <w:t>对采购人内镜中心的主机提供每年  1  次定期维护、保养、校正服务（PM SERVICE），包括设备安全检查，质量检查，状态检查，除尘保养，确保设备处于正常工作状态，并提供完整的书面维保报告。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noWrap w:val="0"/>
            <w:vAlign w:val="center"/>
          </w:tcPr>
          <w:p>
            <w:pPr>
              <w:spacing w:after="0" w:line="240" w:lineRule="auto"/>
              <w:jc w:val="center"/>
              <w:rPr>
                <w:rFonts w:hint="eastAsia" w:ascii="仿宋" w:hAnsi="仿宋" w:eastAsia="仿宋" w:cs="仿宋"/>
                <w:b/>
                <w:color w:val="auto"/>
                <w:sz w:val="21"/>
                <w:szCs w:val="21"/>
                <w:highlight w:val="none"/>
                <w:lang w:val="en-US" w:eastAsia="zh-CN" w:bidi="ar-SA"/>
              </w:rPr>
            </w:pPr>
            <w:r>
              <w:rPr>
                <w:rFonts w:hint="eastAsia" w:ascii="仿宋" w:hAnsi="仿宋" w:eastAsia="仿宋" w:cs="仿宋"/>
                <w:b/>
                <w:color w:val="auto"/>
                <w:sz w:val="21"/>
                <w:szCs w:val="21"/>
                <w:highlight w:val="none"/>
              </w:rPr>
              <w:t>▲9</w:t>
            </w:r>
          </w:p>
        </w:tc>
        <w:tc>
          <w:tcPr>
            <w:tcW w:w="824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其他要求：</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9.1</w:t>
            </w:r>
            <w:r>
              <w:rPr>
                <w:rFonts w:hint="eastAsia" w:ascii="仿宋" w:hAnsi="仿宋" w:eastAsia="仿宋" w:cs="仿宋"/>
                <w:color w:val="auto"/>
                <w:sz w:val="21"/>
                <w:szCs w:val="21"/>
                <w:highlight w:val="none"/>
              </w:rPr>
              <w:t>投标人应承诺承担在服务期间伴随产生的所有人工费、差旅费和更换配件费等所有费用。</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9.2</w:t>
            </w:r>
            <w:r>
              <w:rPr>
                <w:rFonts w:hint="eastAsia" w:ascii="仿宋" w:hAnsi="仿宋" w:eastAsia="仿宋" w:cs="仿宋"/>
                <w:color w:val="auto"/>
                <w:sz w:val="21"/>
                <w:szCs w:val="21"/>
                <w:highlight w:val="none"/>
              </w:rPr>
              <w:t>如果投标人在单次故障维修时间超过 15个工作日，采购人可以请其他设备服务商进行维修服务，由此发生的一切费用由投标人承担。</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9.3</w:t>
            </w:r>
            <w:r>
              <w:rPr>
                <w:rFonts w:hint="eastAsia" w:ascii="仿宋" w:hAnsi="仿宋" w:eastAsia="仿宋" w:cs="仿宋"/>
                <w:color w:val="auto"/>
                <w:sz w:val="21"/>
                <w:szCs w:val="21"/>
                <w:highlight w:val="none"/>
              </w:rPr>
              <w:t>在维修过程中，若因投标人的维修人员疏忽失误造成设备损坏，资料、软件丢失等意外情况，投标人应承诺赔付造成的直接损失。</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9.4</w:t>
            </w:r>
            <w:r>
              <w:rPr>
                <w:rFonts w:hint="eastAsia" w:ascii="仿宋" w:hAnsi="仿宋" w:eastAsia="仿宋" w:cs="仿宋"/>
                <w:color w:val="auto"/>
                <w:sz w:val="21"/>
                <w:szCs w:val="21"/>
                <w:highlight w:val="none"/>
              </w:rPr>
              <w:t>对每条镜子每年维保费用进行单独报价，合计总价。</w:t>
            </w:r>
          </w:p>
        </w:tc>
      </w:tr>
    </w:tbl>
    <w:p>
      <w:pPr>
        <w:pStyle w:val="70"/>
        <w:widowControl w:val="0"/>
        <w:numPr>
          <w:ilvl w:val="0"/>
          <w:numId w:val="0"/>
        </w:numPr>
        <w:spacing w:afterLines="0" w:line="440" w:lineRule="exact"/>
        <w:ind w:left="600" w:leftChars="0"/>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color w:val="auto"/>
          <w:sz w:val="24"/>
          <w:szCs w:val="24"/>
          <w:highlight w:val="none"/>
          <w:lang w:val="en-US" w:eastAsia="zh-CN"/>
        </w:rPr>
        <w:t>全自动摆药机</w:t>
      </w:r>
      <w:r>
        <w:rPr>
          <w:rFonts w:hint="eastAsia" w:ascii="仿宋" w:hAnsi="仿宋" w:eastAsia="仿宋" w:cs="仿宋"/>
          <w:b/>
          <w:color w:val="auto"/>
          <w:sz w:val="24"/>
          <w:szCs w:val="24"/>
          <w:highlight w:val="none"/>
        </w:rPr>
        <w:t>，上限价：</w:t>
      </w:r>
      <w:r>
        <w:rPr>
          <w:rFonts w:hint="eastAsia" w:ascii="仿宋" w:hAnsi="仿宋" w:eastAsia="仿宋" w:cs="仿宋"/>
          <w:b/>
          <w:color w:val="auto"/>
          <w:sz w:val="24"/>
          <w:szCs w:val="24"/>
          <w:highlight w:val="none"/>
          <w:lang w:val="en-US" w:eastAsia="zh-CN"/>
        </w:rPr>
        <w:t>18</w:t>
      </w:r>
      <w:r>
        <w:rPr>
          <w:rFonts w:hint="eastAsia" w:ascii="仿宋" w:hAnsi="仿宋" w:eastAsia="仿宋" w:cs="仿宋"/>
          <w:b/>
          <w:color w:val="auto"/>
          <w:sz w:val="24"/>
          <w:szCs w:val="24"/>
          <w:highlight w:val="none"/>
        </w:rPr>
        <w:t>万元</w:t>
      </w:r>
      <w:r>
        <w:rPr>
          <w:rFonts w:hint="eastAsia" w:ascii="仿宋" w:hAnsi="仿宋" w:eastAsia="仿宋" w:cs="仿宋"/>
          <w:b/>
          <w:color w:val="auto"/>
          <w:sz w:val="24"/>
          <w:szCs w:val="24"/>
          <w:highlight w:val="none"/>
          <w:lang w:val="en-US" w:eastAsia="zh-CN"/>
        </w:rPr>
        <w:t>/3年</w:t>
      </w:r>
    </w:p>
    <w:p>
      <w:pPr>
        <w:ind w:firstLine="422" w:firstLineChars="200"/>
        <w:jc w:val="both"/>
        <w:rPr>
          <w:rFonts w:hint="eastAsia" w:ascii="仿宋" w:hAnsi="仿宋" w:eastAsia="仿宋" w:cs="仿宋"/>
          <w:b/>
          <w:bCs/>
          <w:color w:val="auto"/>
          <w:sz w:val="21"/>
          <w:szCs w:val="21"/>
          <w:highlight w:val="none"/>
          <w:lang w:eastAsia="zh-CN"/>
        </w:rPr>
      </w:pPr>
    </w:p>
    <w:tbl>
      <w:tblPr>
        <w:tblStyle w:val="42"/>
        <w:tblW w:w="9128"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7"/>
        <w:gridCol w:w="3559"/>
        <w:gridCol w:w="1575"/>
        <w:gridCol w:w="3187"/>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bCs/>
                <w:color w:val="auto"/>
                <w:highlight w:val="none"/>
              </w:rPr>
            </w:pPr>
            <w:r>
              <w:rPr>
                <w:rFonts w:hint="eastAsia" w:ascii="仿宋" w:hAnsi="仿宋" w:eastAsia="仿宋" w:cs="仿宋"/>
                <w:bCs/>
                <w:color w:val="auto"/>
                <w:highlight w:val="none"/>
              </w:rPr>
              <w:t>一</w:t>
            </w:r>
          </w:p>
        </w:tc>
        <w:tc>
          <w:tcPr>
            <w:tcW w:w="8321" w:type="dxa"/>
            <w:gridSpan w:val="3"/>
            <w:noWrap w:val="0"/>
            <w:vAlign w:val="center"/>
          </w:tcPr>
          <w:p>
            <w:pPr>
              <w:widowControl/>
              <w:rPr>
                <w:rFonts w:hint="eastAsia" w:ascii="仿宋" w:hAnsi="仿宋" w:eastAsia="仿宋" w:cs="仿宋"/>
                <w:bCs/>
                <w:color w:val="auto"/>
                <w:highlight w:val="none"/>
              </w:rPr>
            </w:pPr>
            <w:r>
              <w:rPr>
                <w:rFonts w:hint="eastAsia" w:ascii="仿宋" w:hAnsi="仿宋" w:eastAsia="仿宋" w:cs="仿宋"/>
                <w:bCs/>
                <w:color w:val="auto"/>
                <w:highlight w:val="none"/>
              </w:rPr>
              <w:t>项目名称：</w:t>
            </w:r>
            <w:r>
              <w:rPr>
                <w:rFonts w:hint="eastAsia" w:ascii="仿宋" w:hAnsi="仿宋" w:eastAsia="仿宋" w:cs="仿宋"/>
                <w:bCs/>
                <w:color w:val="auto"/>
                <w:highlight w:val="none"/>
                <w:lang w:eastAsia="zh-CN"/>
              </w:rPr>
              <w:t>全自动摆药机保修项目</w:t>
            </w:r>
            <w:r>
              <w:rPr>
                <w:rFonts w:hint="eastAsia" w:ascii="仿宋" w:hAnsi="仿宋" w:eastAsia="仿宋" w:cs="仿宋"/>
                <w:bCs/>
                <w:color w:val="auto"/>
                <w:highlight w:val="none"/>
              </w:rPr>
              <w:t xml:space="preserve">    预算：</w:t>
            </w:r>
            <w:r>
              <w:rPr>
                <w:rFonts w:hint="eastAsia" w:ascii="仿宋" w:hAnsi="仿宋" w:eastAsia="仿宋" w:cs="仿宋"/>
                <w:bCs/>
                <w:color w:val="auto"/>
                <w:highlight w:val="none"/>
                <w:lang w:val="en-US" w:eastAsia="zh-CN"/>
              </w:rPr>
              <w:t>6</w:t>
            </w:r>
            <w:r>
              <w:rPr>
                <w:rFonts w:hint="eastAsia" w:ascii="仿宋" w:hAnsi="仿宋" w:eastAsia="仿宋" w:cs="仿宋"/>
                <w:bCs/>
                <w:color w:val="auto"/>
                <w:highlight w:val="none"/>
              </w:rPr>
              <w:t>.0万/年</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bCs/>
                <w:color w:val="auto"/>
                <w:highlight w:val="none"/>
              </w:rPr>
            </w:pPr>
            <w:r>
              <w:rPr>
                <w:rFonts w:hint="eastAsia" w:ascii="仿宋" w:hAnsi="仿宋" w:eastAsia="仿宋" w:cs="仿宋"/>
                <w:bCs/>
                <w:color w:val="auto"/>
                <w:highlight w:val="none"/>
              </w:rPr>
              <w:t>1</w:t>
            </w:r>
          </w:p>
        </w:tc>
        <w:tc>
          <w:tcPr>
            <w:tcW w:w="3559" w:type="dxa"/>
            <w:noWrap w:val="0"/>
            <w:vAlign w:val="center"/>
          </w:tcPr>
          <w:p>
            <w:pPr>
              <w:widowControl/>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全自动摆药机保修项目</w:t>
            </w:r>
          </w:p>
        </w:tc>
        <w:tc>
          <w:tcPr>
            <w:tcW w:w="1575" w:type="dxa"/>
            <w:noWrap w:val="0"/>
            <w:vAlign w:val="center"/>
          </w:tcPr>
          <w:p>
            <w:pPr>
              <w:widowControl/>
              <w:rPr>
                <w:rFonts w:hint="eastAsia" w:ascii="仿宋" w:hAnsi="仿宋" w:eastAsia="仿宋" w:cs="仿宋"/>
                <w:bCs/>
                <w:color w:val="auto"/>
                <w:highlight w:val="none"/>
              </w:rPr>
            </w:pPr>
            <w:r>
              <w:rPr>
                <w:rFonts w:hint="eastAsia" w:ascii="仿宋" w:hAnsi="仿宋" w:eastAsia="仿宋" w:cs="仿宋"/>
                <w:bCs/>
                <w:color w:val="auto"/>
                <w:highlight w:val="none"/>
              </w:rPr>
              <w:t>型号、数量</w:t>
            </w:r>
          </w:p>
        </w:tc>
        <w:tc>
          <w:tcPr>
            <w:tcW w:w="3187" w:type="dxa"/>
            <w:noWrap w:val="0"/>
            <w:vAlign w:val="center"/>
          </w:tcPr>
          <w:p>
            <w:pPr>
              <w:widowControl/>
              <w:rPr>
                <w:rFonts w:hint="eastAsia" w:ascii="仿宋" w:hAnsi="仿宋" w:eastAsia="仿宋" w:cs="仿宋"/>
                <w:bCs/>
                <w:color w:val="auto"/>
                <w:highlight w:val="none"/>
              </w:rPr>
            </w:pPr>
            <w:r>
              <w:rPr>
                <w:rFonts w:hint="eastAsia" w:ascii="仿宋" w:hAnsi="仿宋" w:eastAsia="仿宋" w:cs="仿宋"/>
                <w:bCs/>
                <w:color w:val="auto"/>
                <w:highlight w:val="none"/>
              </w:rPr>
              <w:t>YS-TR-330FDSⅡ，1台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bCs/>
                <w:color w:val="auto"/>
                <w:highlight w:val="none"/>
              </w:rPr>
            </w:pPr>
            <w:r>
              <w:rPr>
                <w:rFonts w:hint="eastAsia" w:ascii="仿宋" w:hAnsi="仿宋" w:eastAsia="仿宋" w:cs="仿宋"/>
                <w:bCs/>
                <w:color w:val="auto"/>
                <w:highlight w:val="none"/>
              </w:rPr>
              <w:t>2</w:t>
            </w:r>
          </w:p>
        </w:tc>
        <w:tc>
          <w:tcPr>
            <w:tcW w:w="8321" w:type="dxa"/>
            <w:gridSpan w:val="3"/>
            <w:noWrap w:val="0"/>
            <w:vAlign w:val="center"/>
          </w:tcPr>
          <w:p>
            <w:pPr>
              <w:rPr>
                <w:rFonts w:hint="eastAsia" w:ascii="仿宋" w:hAnsi="仿宋" w:eastAsia="仿宋" w:cs="仿宋"/>
                <w:bCs/>
                <w:color w:val="auto"/>
                <w:highlight w:val="none"/>
              </w:rPr>
            </w:pPr>
            <w:r>
              <w:rPr>
                <w:rFonts w:hint="eastAsia" w:ascii="仿宋" w:hAnsi="仿宋" w:eastAsia="仿宋" w:cs="仿宋"/>
                <w:bCs/>
                <w:color w:val="auto"/>
                <w:highlight w:val="none"/>
              </w:rPr>
              <w:t>保修范围：</w:t>
            </w:r>
            <w:r>
              <w:rPr>
                <w:rFonts w:hint="eastAsia" w:ascii="仿宋" w:hAnsi="仿宋" w:eastAsia="仿宋" w:cs="仿宋"/>
                <w:bCs/>
                <w:color w:val="auto"/>
                <w:highlight w:val="none"/>
              </w:rPr>
              <w:t>整机</w:t>
            </w:r>
            <w:r>
              <w:rPr>
                <w:rFonts w:hint="eastAsia" w:ascii="仿宋" w:hAnsi="仿宋" w:eastAsia="仿宋" w:cs="仿宋"/>
                <w:color w:val="auto"/>
                <w:highlight w:val="none"/>
              </w:rPr>
              <w:t>保修服务，包括定期保养和故障维修。</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w:t>
            </w:r>
          </w:p>
        </w:tc>
        <w:tc>
          <w:tcPr>
            <w:tcW w:w="8321" w:type="dxa"/>
            <w:gridSpan w:val="3"/>
            <w:noWrap w:val="0"/>
            <w:vAlign w:val="center"/>
          </w:tcPr>
          <w:p>
            <w:pPr>
              <w:rPr>
                <w:rFonts w:hint="eastAsia" w:ascii="仿宋" w:hAnsi="仿宋" w:eastAsia="仿宋" w:cs="仿宋"/>
                <w:bCs/>
                <w:color w:val="auto"/>
                <w:highlight w:val="none"/>
              </w:rPr>
            </w:pPr>
            <w:r>
              <w:rPr>
                <w:rFonts w:hint="eastAsia" w:ascii="仿宋" w:hAnsi="仿宋" w:eastAsia="仿宋" w:cs="仿宋"/>
                <w:bCs/>
                <w:color w:val="auto"/>
                <w:highlight w:val="none"/>
              </w:rPr>
              <w:t>技术要求</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.1</w:t>
            </w:r>
          </w:p>
        </w:tc>
        <w:tc>
          <w:tcPr>
            <w:tcW w:w="8321" w:type="dxa"/>
            <w:gridSpan w:val="3"/>
            <w:noWrap w:val="0"/>
            <w:vAlign w:val="center"/>
          </w:tcPr>
          <w:p>
            <w:pPr>
              <w:rPr>
                <w:rFonts w:hint="eastAsia" w:ascii="仿宋" w:hAnsi="仿宋" w:eastAsia="仿宋" w:cs="仿宋"/>
                <w:color w:val="auto"/>
                <w:highlight w:val="none"/>
              </w:rPr>
            </w:pPr>
            <w:r>
              <w:rPr>
                <w:rFonts w:hint="eastAsia" w:ascii="仿宋" w:hAnsi="仿宋" w:eastAsia="仿宋" w:cs="仿宋"/>
                <w:color w:val="auto"/>
                <w:szCs w:val="21"/>
                <w:highlight w:val="none"/>
              </w:rPr>
              <w:t>服务供应商应确保用户的设备正常运行，设备的功能和技术指标达到投标文件和国家相关标准。合同期内，因设备</w:t>
            </w:r>
            <w:r>
              <w:rPr>
                <w:rFonts w:hint="eastAsia" w:ascii="仿宋" w:hAnsi="仿宋" w:eastAsia="仿宋" w:cs="仿宋"/>
                <w:color w:val="auto"/>
                <w:szCs w:val="21"/>
                <w:highlight w:val="none"/>
              </w:rPr>
              <w:t>本身</w:t>
            </w:r>
            <w:r>
              <w:rPr>
                <w:rFonts w:hint="eastAsia" w:ascii="仿宋" w:hAnsi="仿宋" w:eastAsia="仿宋" w:cs="仿宋"/>
                <w:color w:val="auto"/>
                <w:szCs w:val="21"/>
                <w:highlight w:val="none"/>
                <w:lang w:eastAsia="zh-CN"/>
              </w:rPr>
              <w:t>问题</w:t>
            </w:r>
            <w:r>
              <w:rPr>
                <w:rFonts w:hint="eastAsia" w:ascii="仿宋" w:hAnsi="仿宋" w:eastAsia="仿宋" w:cs="仿宋"/>
                <w:color w:val="auto"/>
                <w:szCs w:val="21"/>
                <w:highlight w:val="none"/>
              </w:rPr>
              <w:t>造成各种故障应由服务供应商免费提供技术服务、维修及所需零部件；任何零部件，出现故障或性能无法达到要求，维修方式为更换新部件，用户无需额外支付任何费用。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.2</w:t>
            </w:r>
          </w:p>
        </w:tc>
        <w:tc>
          <w:tcPr>
            <w:tcW w:w="8321" w:type="dxa"/>
            <w:gridSpan w:val="3"/>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highlight w:val="none"/>
              </w:rPr>
              <w:t>维修所需的相关辅助设备和材料均由</w:t>
            </w:r>
            <w:r>
              <w:rPr>
                <w:rFonts w:hint="eastAsia" w:ascii="仿宋" w:hAnsi="仿宋" w:eastAsia="仿宋" w:cs="仿宋"/>
                <w:color w:val="auto"/>
                <w:szCs w:val="21"/>
                <w:highlight w:val="none"/>
              </w:rPr>
              <w:t>服务供应商</w:t>
            </w:r>
            <w:r>
              <w:rPr>
                <w:rFonts w:hint="eastAsia" w:ascii="仿宋" w:hAnsi="仿宋" w:eastAsia="仿宋" w:cs="仿宋"/>
                <w:color w:val="auto"/>
                <w:highlight w:val="none"/>
              </w:rPr>
              <w:t>提供。</w:t>
            </w:r>
            <w:r>
              <w:rPr>
                <w:rFonts w:hint="eastAsia" w:ascii="仿宋" w:hAnsi="仿宋" w:eastAsia="仿宋" w:cs="仿宋"/>
                <w:color w:val="auto"/>
                <w:szCs w:val="21"/>
                <w:highlight w:val="none"/>
              </w:rPr>
              <w:t>并</w:t>
            </w:r>
            <w:r>
              <w:rPr>
                <w:rFonts w:hint="eastAsia" w:ascii="仿宋" w:hAnsi="仿宋" w:eastAsia="仿宋" w:cs="仿宋"/>
                <w:color w:val="auto"/>
                <w:highlight w:val="none"/>
              </w:rPr>
              <w:t>具备相关维修保养专用工具、设备及装置。</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.3</w:t>
            </w:r>
            <w:r>
              <w:rPr>
                <w:rFonts w:hint="eastAsia" w:ascii="仿宋" w:hAnsi="仿宋" w:eastAsia="仿宋" w:cs="仿宋"/>
                <w:color w:val="auto"/>
                <w:highlight w:val="none"/>
                <w:lang w:eastAsia="zh-CN"/>
              </w:rPr>
              <w:t>▲</w:t>
            </w:r>
          </w:p>
        </w:tc>
        <w:tc>
          <w:tcPr>
            <w:tcW w:w="8321" w:type="dxa"/>
            <w:gridSpan w:val="3"/>
            <w:noWrap w:val="0"/>
            <w:vAlign w:val="center"/>
          </w:tcPr>
          <w:p>
            <w:pPr>
              <w:spacing w:line="360" w:lineRule="exact"/>
              <w:rPr>
                <w:rFonts w:hint="eastAsia" w:ascii="仿宋" w:hAnsi="仿宋" w:eastAsia="仿宋" w:cs="仿宋"/>
                <w:color w:val="auto"/>
                <w:sz w:val="28"/>
                <w:szCs w:val="28"/>
                <w:highlight w:val="none"/>
              </w:rPr>
            </w:pPr>
            <w:r>
              <w:rPr>
                <w:rFonts w:hint="eastAsia" w:ascii="仿宋" w:hAnsi="仿宋" w:eastAsia="仿宋" w:cs="仿宋"/>
                <w:color w:val="auto"/>
                <w:highlight w:val="none"/>
              </w:rPr>
              <w:t>质量保证：提供的配件应为原厂配件，满足设备运行要求，不给设备带来潜在危害。</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.4</w:t>
            </w:r>
          </w:p>
        </w:tc>
        <w:tc>
          <w:tcPr>
            <w:tcW w:w="8321" w:type="dxa"/>
            <w:gridSpan w:val="3"/>
            <w:noWrap w:val="0"/>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所有服务工程师必须经过厂家的维修培训，</w:t>
            </w:r>
            <w:r>
              <w:rPr>
                <w:rFonts w:hint="eastAsia" w:ascii="仿宋" w:hAnsi="仿宋" w:eastAsia="仿宋" w:cs="仿宋"/>
                <w:bCs/>
                <w:color w:val="auto"/>
                <w:highlight w:val="none"/>
              </w:rPr>
              <w:t>提供相关服务资格的人员培训合格证明。</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.5</w:t>
            </w:r>
          </w:p>
        </w:tc>
        <w:tc>
          <w:tcPr>
            <w:tcW w:w="8321" w:type="dxa"/>
            <w:gridSpan w:val="3"/>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服务供应商</w:t>
            </w:r>
            <w:r>
              <w:rPr>
                <w:rFonts w:hint="eastAsia" w:ascii="仿宋" w:hAnsi="仿宋" w:eastAsia="仿宋" w:cs="仿宋"/>
                <w:color w:val="auto"/>
                <w:highlight w:val="none"/>
              </w:rPr>
              <w:t>提供24小时技术电话支持（24小时x365天）服务。提供技术服务电话。</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.6</w:t>
            </w:r>
          </w:p>
        </w:tc>
        <w:tc>
          <w:tcPr>
            <w:tcW w:w="8321" w:type="dxa"/>
            <w:gridSpan w:val="3"/>
            <w:noWrap w:val="0"/>
            <w:vAlign w:val="center"/>
          </w:tcPr>
          <w:p>
            <w:pPr>
              <w:spacing w:line="360" w:lineRule="exact"/>
              <w:rPr>
                <w:rFonts w:hint="eastAsia" w:ascii="仿宋" w:hAnsi="仿宋" w:eastAsia="仿宋" w:cs="仿宋"/>
                <w:color w:val="auto"/>
                <w:sz w:val="28"/>
                <w:szCs w:val="28"/>
                <w:highlight w:val="none"/>
              </w:rPr>
            </w:pPr>
            <w:r>
              <w:rPr>
                <w:rFonts w:hint="eastAsia" w:ascii="仿宋" w:hAnsi="仿宋" w:eastAsia="仿宋" w:cs="仿宋"/>
                <w:color w:val="auto"/>
                <w:szCs w:val="21"/>
                <w:highlight w:val="none"/>
              </w:rPr>
              <w:t xml:space="preserve">响应时间：在收到院方拨打电话后4小时内响应，工程师24小时内到现场。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.7</w:t>
            </w:r>
          </w:p>
        </w:tc>
        <w:tc>
          <w:tcPr>
            <w:tcW w:w="8321" w:type="dxa"/>
            <w:gridSpan w:val="3"/>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highlight w:val="none"/>
              </w:rPr>
              <w:t>服务供应商免费提供设备的软件安全升级，免费提供设备的系统软件升级补丁和技术支持，以提高设备的安全性和性能。</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.8</w:t>
            </w:r>
            <w:r>
              <w:rPr>
                <w:rFonts w:hint="eastAsia" w:ascii="仿宋" w:hAnsi="仿宋" w:eastAsia="仿宋" w:cs="仿宋"/>
                <w:color w:val="auto"/>
                <w:highlight w:val="none"/>
                <w:lang w:eastAsia="zh-CN"/>
              </w:rPr>
              <w:t>▲</w:t>
            </w:r>
          </w:p>
        </w:tc>
        <w:tc>
          <w:tcPr>
            <w:tcW w:w="8321" w:type="dxa"/>
            <w:gridSpan w:val="3"/>
            <w:noWrap w:val="0"/>
            <w:vAlign w:val="center"/>
          </w:tcPr>
          <w:p>
            <w:pPr>
              <w:spacing w:line="360" w:lineRule="exact"/>
              <w:rPr>
                <w:rFonts w:hint="eastAsia" w:ascii="仿宋" w:hAnsi="仿宋" w:eastAsia="仿宋" w:cs="仿宋"/>
                <w:color w:val="auto"/>
                <w:sz w:val="28"/>
                <w:szCs w:val="28"/>
                <w:highlight w:val="none"/>
              </w:rPr>
            </w:pPr>
            <w:r>
              <w:rPr>
                <w:rFonts w:hint="eastAsia" w:ascii="仿宋" w:hAnsi="仿宋" w:eastAsia="仿宋" w:cs="仿宋"/>
                <w:color w:val="auto"/>
                <w:highlight w:val="none"/>
              </w:rPr>
              <w:t>维护保养：</w:t>
            </w:r>
            <w:r>
              <w:rPr>
                <w:rFonts w:hint="eastAsia" w:ascii="仿宋" w:hAnsi="仿宋" w:eastAsia="仿宋" w:cs="仿宋"/>
                <w:color w:val="auto"/>
                <w:highlight w:val="none"/>
                <w:lang w:val="en-US" w:eastAsia="zh-CN"/>
              </w:rPr>
              <w:t>提供每个月保养维护，每年更换一次干燥剂，须提供纸质年度保养维护报告。</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.9</w:t>
            </w:r>
          </w:p>
        </w:tc>
        <w:tc>
          <w:tcPr>
            <w:tcW w:w="8321" w:type="dxa"/>
            <w:gridSpan w:val="3"/>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highlight w:val="none"/>
              </w:rPr>
              <w:t>服务提供商维修前应将用户相关数据等备份，维修结束后恢复原状。</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807" w:type="dxa"/>
            <w:noWrap w:val="0"/>
            <w:vAlign w:val="center"/>
          </w:tcPr>
          <w:p>
            <w:pPr>
              <w:widowControl/>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.10</w:t>
            </w:r>
          </w:p>
        </w:tc>
        <w:tc>
          <w:tcPr>
            <w:tcW w:w="8321" w:type="dxa"/>
            <w:gridSpan w:val="3"/>
            <w:noWrap w:val="0"/>
            <w:vAlign w:val="center"/>
          </w:tcPr>
          <w:p>
            <w:pPr>
              <w:rPr>
                <w:rFonts w:hint="eastAsia" w:ascii="仿宋" w:hAnsi="仿宋" w:eastAsia="仿宋" w:cs="仿宋"/>
                <w:bCs/>
                <w:color w:val="auto"/>
                <w:highlight w:val="none"/>
              </w:rPr>
            </w:pPr>
            <w:r>
              <w:rPr>
                <w:rFonts w:hint="eastAsia" w:ascii="仿宋" w:hAnsi="仿宋" w:eastAsia="仿宋" w:cs="仿宋"/>
                <w:color w:val="auto"/>
                <w:szCs w:val="21"/>
                <w:highlight w:val="none"/>
              </w:rPr>
              <w:t>合同期内，设备开机率≥95%，停机天数每超出1天，服务提供商免费延长维保时间</w:t>
            </w:r>
            <w:r>
              <w:rPr>
                <w:rFonts w:hint="eastAsia" w:ascii="仿宋" w:hAnsi="仿宋" w:eastAsia="仿宋" w:cs="仿宋"/>
                <w:color w:val="auto"/>
                <w:szCs w:val="21"/>
                <w:highlight w:val="none"/>
                <w:u w:val="single"/>
              </w:rPr>
              <w:t>5</w:t>
            </w:r>
            <w:r>
              <w:rPr>
                <w:rFonts w:hint="eastAsia" w:ascii="仿宋" w:hAnsi="仿宋" w:eastAsia="仿宋" w:cs="仿宋"/>
                <w:color w:val="auto"/>
                <w:szCs w:val="21"/>
                <w:highlight w:val="none"/>
              </w:rPr>
              <w:t>天。</w:t>
            </w:r>
          </w:p>
        </w:tc>
      </w:tr>
    </w:tbl>
    <w:p>
      <w:pPr>
        <w:numPr>
          <w:ilvl w:val="0"/>
          <w:numId w:val="0"/>
        </w:numPr>
        <w:ind w:leftChars="0" w:firstLine="422" w:firstLineChars="200"/>
        <w:jc w:val="both"/>
        <w:rPr>
          <w:rFonts w:hint="eastAsia" w:ascii="仿宋" w:hAnsi="仿宋" w:eastAsia="仿宋" w:cs="仿宋"/>
          <w:b/>
          <w:bCs/>
          <w:color w:val="auto"/>
          <w:sz w:val="21"/>
          <w:szCs w:val="21"/>
          <w:highlight w:val="none"/>
          <w:lang w:val="en-US" w:eastAsia="zh-CN"/>
        </w:rPr>
      </w:pPr>
    </w:p>
    <w:p>
      <w:pPr>
        <w:numPr>
          <w:ilvl w:val="0"/>
          <w:numId w:val="0"/>
        </w:numPr>
        <w:ind w:leftChars="0" w:firstLine="422" w:firstLineChars="200"/>
        <w:jc w:val="both"/>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二、考核方式</w:t>
      </w:r>
    </w:p>
    <w:p>
      <w:pPr>
        <w:numPr>
          <w:ilvl w:val="0"/>
          <w:numId w:val="0"/>
        </w:numPr>
        <w:ind w:leftChars="0" w:firstLine="422" w:firstLineChars="200"/>
        <w:jc w:val="both"/>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 xml:space="preserve">    </w:t>
      </w:r>
      <w:r>
        <w:rPr>
          <w:rFonts w:hint="eastAsia" w:ascii="仿宋" w:hAnsi="仿宋" w:eastAsia="仿宋" w:cs="仿宋"/>
          <w:color w:val="auto"/>
          <w:sz w:val="21"/>
          <w:szCs w:val="21"/>
          <w:highlight w:val="none"/>
        </w:rPr>
        <w:t>采购人应对中标方提供的</w:t>
      </w:r>
      <w:r>
        <w:rPr>
          <w:rFonts w:hint="eastAsia" w:ascii="仿宋" w:hAnsi="仿宋" w:eastAsia="仿宋" w:cs="仿宋"/>
          <w:color w:val="auto"/>
          <w:sz w:val="21"/>
          <w:szCs w:val="21"/>
          <w:highlight w:val="none"/>
          <w:lang w:val="en-US"/>
        </w:rPr>
        <w:t>维保</w:t>
      </w:r>
      <w:r>
        <w:rPr>
          <w:rFonts w:hint="eastAsia" w:ascii="仿宋" w:hAnsi="仿宋" w:eastAsia="仿宋" w:cs="仿宋"/>
          <w:color w:val="auto"/>
          <w:sz w:val="21"/>
          <w:szCs w:val="21"/>
          <w:highlight w:val="none"/>
        </w:rPr>
        <w:t>服务质量，服度态度进行全面考核，考核合格方可支付服务费用，考核标准参照附件：《绍兴市</w:t>
      </w:r>
      <w:r>
        <w:rPr>
          <w:rFonts w:hint="eastAsia" w:ascii="仿宋" w:hAnsi="仿宋" w:eastAsia="仿宋" w:cs="仿宋"/>
          <w:color w:val="auto"/>
          <w:sz w:val="21"/>
          <w:szCs w:val="21"/>
          <w:highlight w:val="none"/>
          <w:lang w:eastAsia="zh-CN"/>
        </w:rPr>
        <w:t>中</w:t>
      </w:r>
      <w:r>
        <w:rPr>
          <w:rFonts w:hint="eastAsia" w:ascii="仿宋" w:hAnsi="仿宋" w:eastAsia="仿宋" w:cs="仿宋"/>
          <w:color w:val="auto"/>
          <w:sz w:val="21"/>
          <w:szCs w:val="21"/>
          <w:highlight w:val="none"/>
        </w:rPr>
        <w:t>医院</w:t>
      </w:r>
      <w:r>
        <w:rPr>
          <w:rFonts w:hint="eastAsia" w:ascii="仿宋" w:hAnsi="仿宋" w:eastAsia="仿宋" w:cs="仿宋"/>
          <w:color w:val="auto"/>
          <w:sz w:val="21"/>
          <w:szCs w:val="21"/>
          <w:highlight w:val="none"/>
          <w:lang w:val="en-US"/>
        </w:rPr>
        <w:t>医疗设备维保</w:t>
      </w:r>
      <w:r>
        <w:rPr>
          <w:rFonts w:hint="eastAsia" w:ascii="仿宋" w:hAnsi="仿宋" w:eastAsia="仿宋" w:cs="仿宋"/>
          <w:color w:val="auto"/>
          <w:sz w:val="21"/>
          <w:szCs w:val="21"/>
          <w:highlight w:val="none"/>
        </w:rPr>
        <w:t>服务考核管理办法》。</w:t>
      </w:r>
    </w:p>
    <w:p>
      <w:pPr>
        <w:numPr>
          <w:ilvl w:val="0"/>
          <w:numId w:val="0"/>
        </w:numPr>
        <w:ind w:leftChars="0" w:firstLine="422" w:firstLineChars="200"/>
        <w:jc w:val="both"/>
        <w:rPr>
          <w:rFonts w:hint="eastAsia" w:ascii="仿宋" w:hAnsi="仿宋" w:eastAsia="仿宋" w:cs="仿宋"/>
          <w:b/>
          <w:bCs/>
          <w:color w:val="auto"/>
          <w:sz w:val="21"/>
          <w:szCs w:val="21"/>
          <w:highlight w:val="none"/>
          <w:lang w:val="en-US" w:eastAsia="zh-CN"/>
        </w:rPr>
      </w:pPr>
    </w:p>
    <w:p>
      <w:pPr>
        <w:numPr>
          <w:ilvl w:val="0"/>
          <w:numId w:val="0"/>
        </w:numPr>
        <w:ind w:leftChars="0" w:firstLine="422" w:firstLineChars="200"/>
        <w:jc w:val="both"/>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三、付款方式</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b/>
          <w:bCs/>
          <w:color w:val="auto"/>
          <w:sz w:val="21"/>
          <w:szCs w:val="21"/>
          <w:highlight w:val="none"/>
          <w:lang w:val="en-US" w:eastAsia="zh-CN"/>
        </w:rPr>
        <w:t xml:space="preserve">    </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highlight w:val="none"/>
          <w:lang w:val="en-US" w:eastAsia="zh-CN"/>
        </w:rPr>
        <w:t>签订后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60天</w:t>
      </w:r>
      <w:r>
        <w:rPr>
          <w:rFonts w:hint="eastAsia" w:ascii="仿宋" w:hAnsi="仿宋" w:eastAsia="仿宋" w:cs="仿宋"/>
          <w:color w:val="auto"/>
          <w:szCs w:val="21"/>
          <w:highlight w:val="none"/>
          <w:lang w:eastAsia="zh-CN"/>
        </w:rPr>
        <w:t>支付本年度保修费用的</w:t>
      </w:r>
      <w:r>
        <w:rPr>
          <w:rFonts w:hint="eastAsia" w:ascii="仿宋" w:hAnsi="仿宋" w:eastAsia="仿宋" w:cs="仿宋"/>
          <w:color w:val="auto"/>
          <w:szCs w:val="21"/>
          <w:highlight w:val="none"/>
          <w:lang w:val="en-US" w:eastAsia="zh-CN"/>
        </w:rPr>
        <w:t>50%，本年度保修服务结束后，根据医院的考核结果支付剩余</w:t>
      </w:r>
      <w:r>
        <w:rPr>
          <w:rFonts w:hint="eastAsia" w:ascii="仿宋" w:hAnsi="仿宋" w:eastAsia="仿宋" w:cs="仿宋"/>
          <w:color w:val="auto"/>
          <w:szCs w:val="21"/>
          <w:highlight w:val="none"/>
          <w:lang w:eastAsia="zh-CN"/>
        </w:rPr>
        <w:t>保修费用的</w:t>
      </w:r>
      <w:r>
        <w:rPr>
          <w:rFonts w:hint="eastAsia" w:ascii="仿宋" w:hAnsi="仿宋" w:eastAsia="仿宋" w:cs="仿宋"/>
          <w:color w:val="auto"/>
          <w:szCs w:val="21"/>
          <w:highlight w:val="none"/>
          <w:lang w:val="en-US" w:eastAsia="zh-CN"/>
        </w:rPr>
        <w:t>50%</w:t>
      </w:r>
      <w:r>
        <w:rPr>
          <w:rFonts w:hint="eastAsia" w:ascii="仿宋" w:hAnsi="仿宋" w:eastAsia="仿宋" w:cs="仿宋"/>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1"/>
          <w:szCs w:val="21"/>
          <w:highlight w:val="none"/>
          <w:lang w:val="en-US"/>
        </w:rPr>
      </w:pPr>
    </w:p>
    <w:p>
      <w:pPr>
        <w:numPr>
          <w:ilvl w:val="0"/>
          <w:numId w:val="0"/>
        </w:numPr>
        <w:ind w:leftChars="0" w:firstLine="421"/>
        <w:jc w:val="both"/>
        <w:rPr>
          <w:rFonts w:hint="eastAsia" w:ascii="仿宋" w:hAnsi="仿宋" w:eastAsia="仿宋" w:cs="仿宋"/>
          <w:b/>
          <w:bCs/>
          <w:color w:val="auto"/>
          <w:sz w:val="21"/>
          <w:szCs w:val="21"/>
          <w:highlight w:val="none"/>
          <w:lang w:val="en-US" w:eastAsia="zh-CN"/>
        </w:rPr>
      </w:pPr>
    </w:p>
    <w:p>
      <w:pPr>
        <w:numPr>
          <w:ilvl w:val="0"/>
          <w:numId w:val="0"/>
        </w:numPr>
        <w:ind w:leftChars="0" w:firstLine="421"/>
        <w:jc w:val="both"/>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附件：</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绍兴市</w:t>
      </w:r>
      <w:r>
        <w:rPr>
          <w:rFonts w:hint="eastAsia" w:ascii="仿宋" w:hAnsi="仿宋" w:eastAsia="仿宋" w:cs="仿宋"/>
          <w:b/>
          <w:bCs/>
          <w:color w:val="auto"/>
          <w:kern w:val="2"/>
          <w:sz w:val="24"/>
          <w:szCs w:val="24"/>
          <w:highlight w:val="none"/>
          <w:lang w:eastAsia="zh-CN"/>
        </w:rPr>
        <w:t>中</w:t>
      </w:r>
      <w:r>
        <w:rPr>
          <w:rFonts w:hint="eastAsia" w:ascii="仿宋" w:hAnsi="仿宋" w:eastAsia="仿宋" w:cs="仿宋"/>
          <w:b/>
          <w:bCs/>
          <w:color w:val="auto"/>
          <w:kern w:val="2"/>
          <w:sz w:val="24"/>
          <w:szCs w:val="24"/>
          <w:highlight w:val="none"/>
        </w:rPr>
        <w:t>医院</w:t>
      </w:r>
      <w:r>
        <w:rPr>
          <w:rFonts w:hint="eastAsia" w:ascii="仿宋" w:hAnsi="仿宋" w:eastAsia="仿宋" w:cs="仿宋"/>
          <w:b/>
          <w:bCs/>
          <w:color w:val="auto"/>
          <w:kern w:val="2"/>
          <w:sz w:val="24"/>
          <w:szCs w:val="24"/>
          <w:highlight w:val="none"/>
          <w:lang w:val="en-US" w:eastAsia="zh-CN"/>
        </w:rPr>
        <w:t xml:space="preserve">  </w:t>
      </w:r>
      <w:r>
        <w:rPr>
          <w:rFonts w:hint="eastAsia" w:ascii="仿宋" w:hAnsi="仿宋" w:eastAsia="仿宋" w:cs="仿宋"/>
          <w:b/>
          <w:bCs/>
          <w:color w:val="auto"/>
          <w:kern w:val="2"/>
          <w:sz w:val="24"/>
          <w:szCs w:val="24"/>
          <w:highlight w:val="none"/>
        </w:rPr>
        <w:t>医疗设备维保服务考核管理办法</w:t>
      </w:r>
    </w:p>
    <w:p>
      <w:pPr>
        <w:pStyle w:val="23"/>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仿宋" w:hAnsi="仿宋" w:eastAsia="仿宋" w:cs="仿宋"/>
          <w:color w:val="auto"/>
          <w:sz w:val="21"/>
          <w:szCs w:val="21"/>
          <w:highlight w:val="none"/>
        </w:rPr>
      </w:pPr>
    </w:p>
    <w:p>
      <w:pPr>
        <w:pStyle w:val="2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为加强管理，提升维保服务质量，确保维保服务规范化运作，保障临床工作的顺利开展，特制定如下考核细则： </w:t>
      </w:r>
    </w:p>
    <w:p>
      <w:pPr>
        <w:pStyle w:val="2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医疗设备维保服务工作，由绍兴市</w:t>
      </w:r>
      <w:r>
        <w:rPr>
          <w:rFonts w:hint="eastAsia" w:ascii="仿宋" w:hAnsi="仿宋" w:eastAsia="仿宋" w:cs="仿宋"/>
          <w:color w:val="auto"/>
          <w:sz w:val="21"/>
          <w:szCs w:val="21"/>
          <w:highlight w:val="none"/>
          <w:lang w:eastAsia="zh-CN"/>
        </w:rPr>
        <w:t>中</w:t>
      </w:r>
      <w:r>
        <w:rPr>
          <w:rFonts w:hint="eastAsia" w:ascii="仿宋" w:hAnsi="仿宋" w:eastAsia="仿宋" w:cs="仿宋"/>
          <w:color w:val="auto"/>
          <w:sz w:val="21"/>
          <w:szCs w:val="21"/>
          <w:highlight w:val="none"/>
        </w:rPr>
        <w:t>医院设备</w:t>
      </w:r>
      <w:r>
        <w:rPr>
          <w:rFonts w:hint="eastAsia" w:ascii="仿宋" w:hAnsi="仿宋" w:eastAsia="仿宋" w:cs="仿宋"/>
          <w:color w:val="auto"/>
          <w:sz w:val="21"/>
          <w:szCs w:val="21"/>
          <w:highlight w:val="none"/>
          <w:lang w:eastAsia="zh-CN"/>
        </w:rPr>
        <w:t>科</w:t>
      </w:r>
      <w:r>
        <w:rPr>
          <w:rFonts w:hint="eastAsia" w:ascii="仿宋" w:hAnsi="仿宋" w:eastAsia="仿宋" w:cs="仿宋"/>
          <w:color w:val="auto"/>
          <w:sz w:val="21"/>
          <w:szCs w:val="21"/>
          <w:highlight w:val="none"/>
        </w:rPr>
        <w:t>负责监管，考核小组负责日常管理，各涉及科室配合、协助监管。</w:t>
      </w:r>
    </w:p>
    <w:p>
      <w:pPr>
        <w:pStyle w:val="2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考核小组：设备</w:t>
      </w:r>
      <w:r>
        <w:rPr>
          <w:rFonts w:hint="eastAsia" w:ascii="仿宋" w:hAnsi="仿宋" w:eastAsia="仿宋" w:cs="仿宋"/>
          <w:color w:val="auto"/>
          <w:sz w:val="21"/>
          <w:szCs w:val="21"/>
          <w:highlight w:val="none"/>
          <w:lang w:eastAsia="zh-CN"/>
        </w:rPr>
        <w:t>科</w:t>
      </w:r>
      <w:r>
        <w:rPr>
          <w:rFonts w:hint="eastAsia" w:ascii="仿宋" w:hAnsi="仿宋" w:eastAsia="仿宋" w:cs="仿宋"/>
          <w:color w:val="auto"/>
          <w:sz w:val="21"/>
          <w:szCs w:val="21"/>
          <w:highlight w:val="none"/>
        </w:rPr>
        <w:t>成立维保服务考核小组，设备</w:t>
      </w:r>
      <w:r>
        <w:rPr>
          <w:rFonts w:hint="eastAsia" w:ascii="仿宋" w:hAnsi="仿宋" w:eastAsia="仿宋" w:cs="仿宋"/>
          <w:color w:val="auto"/>
          <w:sz w:val="21"/>
          <w:szCs w:val="21"/>
          <w:highlight w:val="none"/>
          <w:lang w:eastAsia="zh-CN"/>
        </w:rPr>
        <w:t>科</w:t>
      </w:r>
      <w:r>
        <w:rPr>
          <w:rFonts w:hint="eastAsia" w:ascii="仿宋" w:hAnsi="仿宋" w:eastAsia="仿宋" w:cs="仿宋"/>
          <w:color w:val="auto"/>
          <w:sz w:val="21"/>
          <w:szCs w:val="21"/>
          <w:highlight w:val="none"/>
        </w:rPr>
        <w:t>长任组长，小组成员由全体工程师担任，考核小组负责日常监管和年度考核。</w:t>
      </w:r>
    </w:p>
    <w:p>
      <w:pPr>
        <w:pStyle w:val="23"/>
        <w:spacing w:after="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考核采用百分制，对服务质量和满意度进行年度考核，设备处考核小组打分，详见附表。</w:t>
      </w:r>
    </w:p>
    <w:p>
      <w:pPr>
        <w:pStyle w:val="2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考核的最终结果作为医院向维保服务公司支付费用依据，具体如下：综合考核结果9</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分以上（含9</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分）的按合同全额支付；综合考核结果低于9</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分，每下降1分，扣款</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000元，直至80分；综合考核结果低于80分，下降1分，扣款</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000元，直至60分，并予以书面警告；综合考核评价低于60分，终止合同，并承担相应违约责任。</w:t>
      </w:r>
    </w:p>
    <w:p>
      <w:pPr>
        <w:pStyle w:val="2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考核内容详见《绍兴市</w:t>
      </w:r>
      <w:r>
        <w:rPr>
          <w:rFonts w:hint="eastAsia" w:ascii="仿宋" w:hAnsi="仿宋" w:eastAsia="仿宋" w:cs="仿宋"/>
          <w:color w:val="auto"/>
          <w:sz w:val="21"/>
          <w:szCs w:val="21"/>
          <w:highlight w:val="none"/>
          <w:lang w:eastAsia="zh-CN"/>
        </w:rPr>
        <w:t>中</w:t>
      </w:r>
      <w:r>
        <w:rPr>
          <w:rFonts w:hint="eastAsia" w:ascii="仿宋" w:hAnsi="仿宋" w:eastAsia="仿宋" w:cs="仿宋"/>
          <w:color w:val="auto"/>
          <w:sz w:val="21"/>
          <w:szCs w:val="21"/>
          <w:highlight w:val="none"/>
        </w:rPr>
        <w:t>医院</w:t>
      </w:r>
      <w:r>
        <w:rPr>
          <w:rFonts w:hint="eastAsia" w:ascii="仿宋" w:hAnsi="仿宋" w:eastAsia="仿宋" w:cs="仿宋"/>
          <w:color w:val="auto"/>
          <w:sz w:val="21"/>
          <w:szCs w:val="21"/>
          <w:highlight w:val="none"/>
          <w:lang w:val="zh-CN"/>
        </w:rPr>
        <w:t>医疗设备</w:t>
      </w:r>
      <w:r>
        <w:rPr>
          <w:rFonts w:hint="eastAsia" w:ascii="仿宋" w:hAnsi="仿宋" w:eastAsia="仿宋" w:cs="仿宋"/>
          <w:color w:val="auto"/>
          <w:sz w:val="21"/>
          <w:szCs w:val="21"/>
          <w:highlight w:val="none"/>
        </w:rPr>
        <w:t>维保服务考核表》，本考核事宜解释权为设备</w:t>
      </w:r>
      <w:r>
        <w:rPr>
          <w:rFonts w:hint="eastAsia" w:ascii="仿宋" w:hAnsi="仿宋" w:eastAsia="仿宋" w:cs="仿宋"/>
          <w:color w:val="auto"/>
          <w:sz w:val="21"/>
          <w:szCs w:val="21"/>
          <w:highlight w:val="none"/>
          <w:lang w:eastAsia="zh-CN"/>
        </w:rPr>
        <w:t>科</w:t>
      </w:r>
      <w:r>
        <w:rPr>
          <w:rFonts w:hint="eastAsia" w:ascii="仿宋" w:hAnsi="仿宋" w:eastAsia="仿宋" w:cs="仿宋"/>
          <w:color w:val="auto"/>
          <w:sz w:val="21"/>
          <w:szCs w:val="21"/>
          <w:highlight w:val="none"/>
        </w:rPr>
        <w:t>。</w:t>
      </w:r>
    </w:p>
    <w:p>
      <w:pPr>
        <w:pStyle w:val="2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其他分项考核（除考核表规定内容外）：</w:t>
      </w:r>
    </w:p>
    <w:p>
      <w:pPr>
        <w:pStyle w:val="2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1)维保服务公司在服务过程中未按标准执行而引起临床科室或病人投诉的，经调查情况属实的，每发生1起扣除1000元；</w:t>
      </w:r>
    </w:p>
    <w:p>
      <w:pPr>
        <w:pStyle w:val="2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2)维保服务公司在服务过程未按标准执行而引起医疗纠纷及事故的，每发生1起扣除</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000元，并承担相应赔偿责任；</w:t>
      </w:r>
    </w:p>
    <w:p>
      <w:pPr>
        <w:pStyle w:val="2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3)在上级部门检查中，因维保服务公司原因受到书面通报批评或被新闻媒体曝光批评的，每发生1起扣除</w:t>
      </w:r>
      <w:r>
        <w:rPr>
          <w:rFonts w:hint="eastAsia" w:ascii="仿宋" w:hAnsi="仿宋" w:eastAsia="仿宋" w:cs="仿宋"/>
          <w:color w:val="auto"/>
          <w:sz w:val="21"/>
          <w:szCs w:val="21"/>
          <w:highlight w:val="none"/>
          <w:lang w:val="en-US" w:eastAsia="zh-CN"/>
        </w:rPr>
        <w:t>5000</w:t>
      </w:r>
      <w:r>
        <w:rPr>
          <w:rFonts w:hint="eastAsia" w:ascii="仿宋" w:hAnsi="仿宋" w:eastAsia="仿宋" w:cs="仿宋"/>
          <w:color w:val="auto"/>
          <w:sz w:val="21"/>
          <w:szCs w:val="21"/>
          <w:highlight w:val="none"/>
        </w:rPr>
        <w:t>元，医院可单方面终止合同；</w:t>
      </w:r>
    </w:p>
    <w:p>
      <w:pPr>
        <w:widowControl w:val="0"/>
        <w:spacing w:after="0" w:line="240" w:lineRule="auto"/>
        <w:jc w:val="center"/>
        <w:rPr>
          <w:rFonts w:hint="eastAsia" w:ascii="仿宋" w:hAnsi="仿宋" w:eastAsia="仿宋" w:cs="仿宋"/>
          <w:b/>
          <w:bCs/>
          <w:color w:val="auto"/>
          <w:kern w:val="2"/>
          <w:sz w:val="24"/>
          <w:szCs w:val="24"/>
          <w:highlight w:val="none"/>
        </w:rPr>
      </w:pPr>
      <w:r>
        <w:rPr>
          <w:rFonts w:hint="eastAsia" w:ascii="仿宋" w:hAnsi="仿宋" w:eastAsia="仿宋" w:cs="仿宋"/>
          <w:b/>
          <w:bCs/>
          <w:color w:val="auto"/>
          <w:sz w:val="21"/>
          <w:szCs w:val="21"/>
          <w:highlight w:val="none"/>
        </w:rPr>
        <w:br w:type="page"/>
      </w:r>
      <w:r>
        <w:rPr>
          <w:rFonts w:hint="eastAsia" w:ascii="仿宋" w:hAnsi="仿宋" w:eastAsia="仿宋" w:cs="仿宋"/>
          <w:b/>
          <w:bCs/>
          <w:color w:val="auto"/>
          <w:kern w:val="2"/>
          <w:sz w:val="24"/>
          <w:szCs w:val="24"/>
          <w:highlight w:val="none"/>
        </w:rPr>
        <w:t>绍兴市</w:t>
      </w:r>
      <w:r>
        <w:rPr>
          <w:rFonts w:hint="eastAsia" w:ascii="仿宋" w:hAnsi="仿宋" w:eastAsia="仿宋" w:cs="仿宋"/>
          <w:b/>
          <w:bCs/>
          <w:color w:val="auto"/>
          <w:kern w:val="2"/>
          <w:sz w:val="24"/>
          <w:szCs w:val="24"/>
          <w:highlight w:val="none"/>
          <w:lang w:eastAsia="zh-CN"/>
        </w:rPr>
        <w:t>中</w:t>
      </w:r>
      <w:r>
        <w:rPr>
          <w:rFonts w:hint="eastAsia" w:ascii="仿宋" w:hAnsi="仿宋" w:eastAsia="仿宋" w:cs="仿宋"/>
          <w:b/>
          <w:bCs/>
          <w:color w:val="auto"/>
          <w:kern w:val="2"/>
          <w:sz w:val="24"/>
          <w:szCs w:val="24"/>
          <w:highlight w:val="none"/>
        </w:rPr>
        <w:t>医院</w:t>
      </w:r>
      <w:r>
        <w:rPr>
          <w:rFonts w:hint="eastAsia" w:ascii="仿宋" w:hAnsi="仿宋" w:eastAsia="仿宋" w:cs="仿宋"/>
          <w:b/>
          <w:bCs/>
          <w:color w:val="auto"/>
          <w:kern w:val="2"/>
          <w:sz w:val="24"/>
          <w:szCs w:val="24"/>
          <w:highlight w:val="none"/>
          <w:lang w:val="en-US" w:eastAsia="zh-CN"/>
        </w:rPr>
        <w:t xml:space="preserve">  </w:t>
      </w:r>
      <w:r>
        <w:rPr>
          <w:rFonts w:hint="eastAsia" w:ascii="仿宋" w:hAnsi="仿宋" w:eastAsia="仿宋" w:cs="仿宋"/>
          <w:b/>
          <w:bCs/>
          <w:color w:val="auto"/>
          <w:kern w:val="2"/>
          <w:sz w:val="24"/>
          <w:szCs w:val="24"/>
          <w:highlight w:val="none"/>
          <w:lang w:val="zh-CN"/>
        </w:rPr>
        <w:t>医疗设备</w:t>
      </w:r>
      <w:r>
        <w:rPr>
          <w:rFonts w:hint="eastAsia" w:ascii="仿宋" w:hAnsi="仿宋" w:eastAsia="仿宋" w:cs="仿宋"/>
          <w:b/>
          <w:bCs/>
          <w:color w:val="auto"/>
          <w:kern w:val="2"/>
          <w:sz w:val="24"/>
          <w:szCs w:val="24"/>
          <w:highlight w:val="none"/>
        </w:rPr>
        <w:t>维保服务考核表</w:t>
      </w:r>
    </w:p>
    <w:p>
      <w:pPr>
        <w:widowControl w:val="0"/>
        <w:spacing w:after="0" w:line="240" w:lineRule="auto"/>
        <w:jc w:val="both"/>
        <w:rPr>
          <w:rFonts w:hint="eastAsia" w:ascii="仿宋" w:hAnsi="仿宋" w:eastAsia="仿宋" w:cs="仿宋"/>
          <w:color w:val="auto"/>
          <w:kern w:val="2"/>
          <w:sz w:val="21"/>
          <w:szCs w:val="21"/>
          <w:highlight w:val="none"/>
        </w:rPr>
      </w:pPr>
    </w:p>
    <w:p>
      <w:pPr>
        <w:widowControl w:val="0"/>
        <w:spacing w:after="0" w:line="240" w:lineRule="auto"/>
        <w:jc w:val="both"/>
        <w:rPr>
          <w:rFonts w:hint="eastAsia" w:ascii="仿宋" w:hAnsi="仿宋" w:eastAsia="仿宋" w:cs="仿宋"/>
          <w:color w:val="auto"/>
          <w:kern w:val="2"/>
          <w:sz w:val="21"/>
          <w:szCs w:val="21"/>
          <w:highlight w:val="none"/>
        </w:rPr>
      </w:pPr>
    </w:p>
    <w:tbl>
      <w:tblPr>
        <w:tblStyle w:val="4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合同编号</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科室</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服务公司</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联系人及联系方式</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考核周期</w:t>
            </w:r>
          </w:p>
        </w:tc>
        <w:tc>
          <w:tcPr>
            <w:tcW w:w="7675" w:type="dxa"/>
            <w:gridSpan w:val="3"/>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pPr>
              <w:widowControl w:val="0"/>
              <w:spacing w:after="0" w:line="24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序号</w:t>
            </w:r>
          </w:p>
        </w:tc>
        <w:tc>
          <w:tcPr>
            <w:tcW w:w="3826"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评价内容（总分100分）</w:t>
            </w:r>
          </w:p>
        </w:tc>
        <w:tc>
          <w:tcPr>
            <w:tcW w:w="3849" w:type="dxa"/>
            <w:gridSpan w:val="2"/>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设备维修服务响应速度（15分）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定期维护（PM等）服务完成率</w:t>
            </w:r>
          </w:p>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配件质量与供应能力（15分）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4</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完好率保障情况（10分）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单次维修报告提供情况（10分）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6</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维保年度总结报告质量（10分）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7</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维修人员操作规范化程度（10分）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8</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维修服务满意度（20分）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综合考评结果</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pPr>
              <w:widowControl w:val="0"/>
              <w:spacing w:after="0" w:line="240" w:lineRule="auto"/>
              <w:jc w:val="both"/>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改进意见及建议：</w:t>
            </w:r>
          </w:p>
        </w:tc>
      </w:tr>
    </w:tbl>
    <w:p>
      <w:pPr>
        <w:widowControl w:val="0"/>
        <w:spacing w:after="0" w:line="240" w:lineRule="auto"/>
        <w:jc w:val="left"/>
        <w:rPr>
          <w:rFonts w:hint="eastAsia" w:ascii="仿宋" w:hAnsi="仿宋" w:eastAsia="仿宋" w:cs="仿宋"/>
          <w:color w:val="auto"/>
          <w:kern w:val="2"/>
          <w:sz w:val="21"/>
          <w:szCs w:val="21"/>
          <w:highlight w:val="none"/>
        </w:rPr>
      </w:pPr>
    </w:p>
    <w:p>
      <w:pPr>
        <w:widowControl w:val="0"/>
        <w:spacing w:after="0" w:line="240" w:lineRule="auto"/>
        <w:jc w:val="left"/>
        <w:rPr>
          <w:rFonts w:hint="eastAsia" w:ascii="仿宋" w:hAnsi="仿宋" w:eastAsia="仿宋" w:cs="仿宋"/>
          <w:color w:val="auto"/>
          <w:kern w:val="2"/>
          <w:sz w:val="21"/>
          <w:szCs w:val="21"/>
          <w:highlight w:val="none"/>
        </w:rPr>
      </w:pPr>
    </w:p>
    <w:p>
      <w:pPr>
        <w:widowControl w:val="0"/>
        <w:spacing w:after="0" w:line="240" w:lineRule="auto"/>
        <w:jc w:val="left"/>
        <w:rPr>
          <w:rFonts w:hint="eastAsia" w:ascii="仿宋" w:hAnsi="仿宋" w:eastAsia="仿宋" w:cs="仿宋"/>
          <w:color w:val="auto"/>
          <w:kern w:val="2"/>
          <w:sz w:val="21"/>
          <w:szCs w:val="21"/>
          <w:highlight w:val="none"/>
          <w:u w:val="single"/>
        </w:rPr>
      </w:pPr>
      <w:r>
        <w:rPr>
          <w:rFonts w:hint="eastAsia" w:ascii="仿宋" w:hAnsi="仿宋" w:eastAsia="仿宋" w:cs="仿宋"/>
          <w:color w:val="auto"/>
          <w:kern w:val="2"/>
          <w:sz w:val="21"/>
          <w:szCs w:val="21"/>
          <w:highlight w:val="none"/>
        </w:rPr>
        <w:t>考评组员：</w:t>
      </w:r>
      <w:r>
        <w:rPr>
          <w:rFonts w:hint="eastAsia" w:ascii="仿宋" w:hAnsi="仿宋" w:eastAsia="仿宋" w:cs="仿宋"/>
          <w:color w:val="auto"/>
          <w:kern w:val="2"/>
          <w:sz w:val="21"/>
          <w:szCs w:val="21"/>
          <w:highlight w:val="none"/>
          <w:u w:val="single"/>
        </w:rPr>
        <w:t xml:space="preserve">            　　　　　　　　　    　　　 </w:t>
      </w:r>
      <w:r>
        <w:rPr>
          <w:rFonts w:hint="eastAsia" w:ascii="仿宋" w:hAnsi="仿宋" w:eastAsia="仿宋" w:cs="仿宋"/>
          <w:color w:val="auto"/>
          <w:kern w:val="2"/>
          <w:sz w:val="21"/>
          <w:szCs w:val="21"/>
          <w:highlight w:val="none"/>
        </w:rPr>
        <w:t xml:space="preserve"> 日期：</w:t>
      </w:r>
    </w:p>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 xml:space="preserve">  </w:t>
      </w:r>
    </w:p>
    <w:p>
      <w:pPr>
        <w:widowControl w:val="0"/>
        <w:spacing w:after="0" w:line="240" w:lineRule="auto"/>
        <w:jc w:val="left"/>
        <w:rPr>
          <w:rFonts w:hint="eastAsia" w:ascii="仿宋" w:hAnsi="仿宋" w:eastAsia="仿宋" w:cs="仿宋"/>
          <w:color w:val="auto"/>
          <w:kern w:val="2"/>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kern w:val="2"/>
          <w:sz w:val="21"/>
          <w:szCs w:val="21"/>
          <w:highlight w:val="none"/>
        </w:rPr>
        <w:t>审核人：</w:t>
      </w:r>
      <w:r>
        <w:rPr>
          <w:rFonts w:hint="eastAsia" w:ascii="仿宋" w:hAnsi="仿宋" w:eastAsia="仿宋" w:cs="仿宋"/>
          <w:color w:val="auto"/>
          <w:kern w:val="2"/>
          <w:sz w:val="21"/>
          <w:szCs w:val="21"/>
          <w:highlight w:val="none"/>
          <w:u w:val="single"/>
        </w:rPr>
        <w:t xml:space="preserve">         　　　　　　　　　　　　　　     </w:t>
      </w:r>
      <w:r>
        <w:rPr>
          <w:rFonts w:hint="eastAsia" w:ascii="仿宋" w:hAnsi="仿宋" w:eastAsia="仿宋" w:cs="仿宋"/>
          <w:color w:val="auto"/>
          <w:kern w:val="2"/>
          <w:sz w:val="21"/>
          <w:szCs w:val="21"/>
          <w:highlight w:val="none"/>
        </w:rPr>
        <w:t xml:space="preserve">  日期：       </w:t>
      </w:r>
      <w:r>
        <w:rPr>
          <w:rFonts w:hint="eastAsia" w:ascii="仿宋" w:hAnsi="仿宋" w:eastAsia="仿宋" w:cs="仿宋"/>
          <w:color w:val="auto"/>
          <w:kern w:val="2"/>
          <w:sz w:val="24"/>
          <w:szCs w:val="24"/>
          <w:highlight w:val="none"/>
        </w:rPr>
        <w:t xml:space="preserve">    </w:t>
      </w: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6"/>
        <w:rPr>
          <w:rFonts w:hint="eastAsia" w:ascii="仿宋" w:hAnsi="仿宋" w:eastAsia="仿宋" w:cs="仿宋"/>
          <w:color w:val="auto"/>
          <w:highlight w:val="none"/>
        </w:rPr>
      </w:pPr>
    </w:p>
    <w:p>
      <w:pPr>
        <w:pStyle w:val="6"/>
        <w:rPr>
          <w:rFonts w:hint="eastAsia" w:ascii="仿宋" w:hAnsi="仿宋" w:eastAsia="仿宋" w:cs="仿宋"/>
          <w:color w:val="auto"/>
          <w:highlight w:val="none"/>
        </w:rPr>
      </w:pPr>
    </w:p>
    <w:p>
      <w:pPr>
        <w:pStyle w:val="6"/>
        <w:ind w:firstLine="562"/>
        <w:jc w:val="center"/>
        <w:rPr>
          <w:rFonts w:hint="eastAsia" w:ascii="仿宋" w:hAnsi="仿宋" w:eastAsia="仿宋" w:cs="仿宋"/>
          <w:b/>
          <w:color w:val="auto"/>
          <w:sz w:val="28"/>
          <w:highlight w:val="none"/>
        </w:rPr>
      </w:pPr>
      <w:r>
        <w:rPr>
          <w:rFonts w:hint="eastAsia" w:ascii="仿宋" w:hAnsi="仿宋" w:eastAsia="仿宋" w:cs="仿宋"/>
          <w:b/>
          <w:color w:val="auto"/>
          <w:sz w:val="28"/>
          <w:highlight w:val="none"/>
        </w:rPr>
        <w:t>第一部分  合同书</w:t>
      </w:r>
    </w:p>
    <w:p>
      <w:pPr>
        <w:pStyle w:val="6"/>
        <w:rPr>
          <w:rFonts w:hint="eastAsia" w:ascii="仿宋" w:hAnsi="仿宋" w:eastAsia="仿宋" w:cs="仿宋"/>
          <w:color w:val="auto"/>
          <w:highlight w:val="none"/>
        </w:rPr>
      </w:pPr>
    </w:p>
    <w:p>
      <w:pPr>
        <w:pStyle w:val="6"/>
        <w:rPr>
          <w:rFonts w:hint="eastAsia" w:ascii="仿宋" w:hAnsi="仿宋" w:eastAsia="仿宋" w:cs="仿宋"/>
          <w:color w:val="auto"/>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282"/>
        <w:spacing w:before="120" w:line="22" w:lineRule="atLeast"/>
        <w:rPr>
          <w:rFonts w:hint="eastAsia" w:ascii="仿宋" w:hAnsi="仿宋" w:eastAsia="仿宋" w:cs="仿宋"/>
          <w:color w:val="auto"/>
          <w:szCs w:val="24"/>
          <w:highlight w:val="none"/>
        </w:rPr>
      </w:pPr>
    </w:p>
    <w:p>
      <w:pPr>
        <w:pStyle w:val="282"/>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12" w:name="_Toc2232"/>
      <w:bookmarkStart w:id="13" w:name="_Toc3029"/>
      <w:bookmarkStart w:id="14" w:name="_Toc24059"/>
      <w:r>
        <w:rPr>
          <w:rFonts w:hint="eastAsia" w:ascii="仿宋" w:hAnsi="仿宋" w:eastAsia="仿宋" w:cs="仿宋"/>
          <w:b/>
          <w:color w:val="auto"/>
          <w:sz w:val="24"/>
          <w:highlight w:val="none"/>
        </w:rPr>
        <w:t>1.1 合同组成部分</w:t>
      </w:r>
      <w:bookmarkEnd w:id="12"/>
      <w:bookmarkEnd w:id="13"/>
      <w:bookmarkEnd w:id="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15" w:name="_Toc21295"/>
      <w:bookmarkStart w:id="16" w:name="_Toc24300"/>
      <w:bookmarkStart w:id="17" w:name="_Toc27126"/>
      <w:r>
        <w:rPr>
          <w:rFonts w:hint="eastAsia" w:ascii="仿宋" w:hAnsi="仿宋" w:eastAsia="仿宋" w:cs="仿宋"/>
          <w:b/>
          <w:color w:val="auto"/>
          <w:sz w:val="24"/>
          <w:highlight w:val="none"/>
        </w:rPr>
        <w:t xml:space="preserve">1.2 </w:t>
      </w:r>
      <w:bookmarkEnd w:id="15"/>
      <w:bookmarkEnd w:id="16"/>
      <w:bookmarkEnd w:id="17"/>
      <w:r>
        <w:rPr>
          <w:rFonts w:hint="eastAsia" w:ascii="仿宋" w:hAnsi="仿宋" w:eastAsia="仿宋" w:cs="仿宋"/>
          <w:b/>
          <w:color w:val="auto"/>
          <w:sz w:val="24"/>
          <w:highlight w:val="none"/>
        </w:rPr>
        <w:t>服务</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服务名称：；</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服务期限和内容：；</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服务提供地点及方式：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8" w:name="_Toc21551"/>
      <w:bookmarkStart w:id="19" w:name="_Toc23292"/>
      <w:bookmarkStart w:id="20" w:name="_Toc21631"/>
      <w:r>
        <w:rPr>
          <w:rFonts w:hint="eastAsia" w:ascii="仿宋" w:hAnsi="仿宋" w:eastAsia="仿宋" w:cs="仿宋"/>
          <w:b/>
          <w:color w:val="auto"/>
          <w:sz w:val="24"/>
          <w:highlight w:val="none"/>
        </w:rPr>
        <w:t>1.3 价款</w:t>
      </w:r>
      <w:bookmarkEnd w:id="18"/>
      <w:bookmarkEnd w:id="19"/>
      <w:bookmarkEnd w:id="2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本合同总价为：￥元（大写：元人民币）。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highlight w:val="none"/>
              </w:rPr>
            </w:pPr>
          </w:p>
        </w:tc>
      </w:tr>
    </w:tbl>
    <w:p>
      <w:pPr>
        <w:spacing w:line="440" w:lineRule="exact"/>
        <w:ind w:firstLine="482" w:firstLineChars="200"/>
        <w:outlineLvl w:val="0"/>
        <w:rPr>
          <w:rFonts w:hint="eastAsia" w:ascii="仿宋" w:hAnsi="仿宋" w:eastAsia="仿宋" w:cs="仿宋"/>
          <w:b/>
          <w:color w:val="auto"/>
          <w:sz w:val="24"/>
          <w:highlight w:val="none"/>
        </w:rPr>
      </w:pPr>
      <w:bookmarkStart w:id="21" w:name="_Toc22618"/>
      <w:bookmarkStart w:id="22" w:name="_Toc10340"/>
      <w:bookmarkStart w:id="23" w:name="_Toc1814"/>
      <w:bookmarkStart w:id="24" w:name="_Toc2846"/>
      <w:bookmarkStart w:id="25" w:name="_Toc32071"/>
      <w:bookmarkStart w:id="26" w:name="_Toc19304"/>
      <w:r>
        <w:rPr>
          <w:rFonts w:hint="eastAsia" w:ascii="仿宋" w:hAnsi="仿宋" w:eastAsia="仿宋" w:cs="仿宋"/>
          <w:b/>
          <w:color w:val="auto"/>
          <w:sz w:val="24"/>
          <w:highlight w:val="none"/>
        </w:rPr>
        <w:t>1.4 付款</w:t>
      </w:r>
      <w:bookmarkEnd w:id="21"/>
      <w:bookmarkEnd w:id="22"/>
      <w:bookmarkEnd w:id="23"/>
      <w:r>
        <w:rPr>
          <w:rFonts w:hint="eastAsia" w:ascii="仿宋" w:hAnsi="仿宋" w:eastAsia="仿宋" w:cs="仿宋"/>
          <w:b/>
          <w:color w:val="auto"/>
          <w:sz w:val="24"/>
          <w:highlight w:val="none"/>
        </w:rPr>
        <w:t>方式、时间和条件</w:t>
      </w:r>
    </w:p>
    <w:p>
      <w:pPr>
        <w:pStyle w:val="284"/>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24"/>
      <w:bookmarkEnd w:id="25"/>
      <w:bookmarkEnd w:id="26"/>
      <w:bookmarkStart w:id="27" w:name="_Toc27250"/>
      <w:bookmarkStart w:id="28" w:name="_Toc19554"/>
      <w:bookmarkStart w:id="29" w:name="_Toc21423"/>
      <w:r>
        <w:rPr>
          <w:rFonts w:hint="eastAsia" w:ascii="仿宋" w:hAnsi="仿宋" w:eastAsia="仿宋" w:cs="仿宋"/>
          <w:b/>
          <w:color w:val="auto"/>
          <w:sz w:val="24"/>
          <w:highlight w:val="none"/>
        </w:rPr>
        <w:t>违约责任</w:t>
      </w:r>
      <w:bookmarkEnd w:id="27"/>
      <w:bookmarkEnd w:id="28"/>
      <w:bookmarkEnd w:id="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1.5.7违约责任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30" w:name="_Toc16021"/>
      <w:bookmarkStart w:id="31" w:name="_Toc15583"/>
      <w:bookmarkStart w:id="32" w:name="_Toc28375"/>
      <w:r>
        <w:rPr>
          <w:rFonts w:hint="eastAsia" w:ascii="仿宋" w:hAnsi="仿宋" w:eastAsia="仿宋" w:cs="仿宋"/>
          <w:b/>
          <w:color w:val="auto"/>
          <w:sz w:val="24"/>
          <w:highlight w:val="none"/>
        </w:rPr>
        <w:t>1.6合同争议的解决</w:t>
      </w:r>
      <w:bookmarkEnd w:id="30"/>
      <w:bookmarkEnd w:id="31"/>
      <w:bookmarkEnd w:id="32"/>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33" w:name="_Toc7245"/>
      <w:bookmarkStart w:id="34" w:name="_Toc15322"/>
      <w:bookmarkStart w:id="35" w:name="_Toc11173"/>
      <w:r>
        <w:rPr>
          <w:rFonts w:hint="eastAsia" w:ascii="仿宋" w:hAnsi="仿宋" w:eastAsia="仿宋" w:cs="仿宋"/>
          <w:b/>
          <w:color w:val="auto"/>
          <w:sz w:val="24"/>
          <w:highlight w:val="none"/>
        </w:rPr>
        <w:t>1.7合同生效</w:t>
      </w:r>
      <w:bookmarkEnd w:id="33"/>
      <w:bookmarkEnd w:id="34"/>
      <w:bookmarkEnd w:id="35"/>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hint="eastAsia" w:ascii="仿宋" w:hAnsi="仿宋" w:eastAsia="仿宋" w:cs="仿宋"/>
          <w:b/>
          <w:color w:val="auto"/>
          <w:sz w:val="24"/>
          <w:highlight w:val="none"/>
          <w:lang w:val="zh-CN"/>
        </w:rPr>
        <w:t xml:space="preserve">      </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lang w:val="zh-CN"/>
        </w:rPr>
        <w:t>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统一社会信用代码：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开户账号：</w:t>
      </w:r>
    </w:p>
    <w:p>
      <w:pPr>
        <w:rPr>
          <w:rFonts w:hint="eastAsia" w:ascii="仿宋" w:hAnsi="仿宋" w:eastAsia="仿宋" w:cs="仿宋"/>
          <w:color w:val="auto"/>
          <w:sz w:val="24"/>
          <w:highlight w:val="none"/>
          <w:u w:val="single"/>
        </w:rPr>
      </w:pPr>
    </w:p>
    <w:p>
      <w:pPr>
        <w:autoSpaceDE w:val="0"/>
        <w:autoSpaceDN w:val="0"/>
        <w:spacing w:line="560" w:lineRule="exact"/>
        <w:rPr>
          <w:rFonts w:hint="eastAsia" w:ascii="仿宋" w:hAnsi="仿宋" w:eastAsia="仿宋" w:cs="仿宋"/>
          <w:color w:val="auto"/>
          <w:sz w:val="24"/>
          <w:highlight w:val="none"/>
        </w:rPr>
      </w:pPr>
    </w:p>
    <w:p>
      <w:pPr>
        <w:widowControl/>
        <w:spacing w:line="560" w:lineRule="exact"/>
        <w:jc w:val="left"/>
        <w:rPr>
          <w:rFonts w:hint="eastAsia" w:ascii="仿宋" w:hAnsi="仿宋" w:eastAsia="仿宋" w:cs="仿宋"/>
          <w:b/>
          <w:color w:val="auto"/>
          <w:sz w:val="24"/>
          <w:highlight w:val="none"/>
        </w:rPr>
      </w:pPr>
      <w:bookmarkStart w:id="36" w:name="_Toc331685783"/>
    </w:p>
    <w:p>
      <w:pPr>
        <w:pStyle w:val="283"/>
        <w:pageBreakBefore/>
        <w:spacing w:line="560" w:lineRule="exact"/>
        <w:ind w:firstLine="723"/>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合同一般条款</w:t>
      </w:r>
      <w:bookmarkEnd w:id="36"/>
    </w:p>
    <w:p>
      <w:pPr>
        <w:spacing w:line="560" w:lineRule="exact"/>
        <w:ind w:firstLine="482" w:firstLineChars="200"/>
        <w:outlineLvl w:val="0"/>
        <w:rPr>
          <w:rFonts w:hint="eastAsia" w:ascii="仿宋" w:hAnsi="仿宋" w:eastAsia="仿宋" w:cs="仿宋"/>
          <w:b/>
          <w:color w:val="auto"/>
          <w:sz w:val="24"/>
          <w:highlight w:val="none"/>
        </w:rPr>
      </w:pPr>
      <w:bookmarkStart w:id="37" w:name="_Toc279701240"/>
      <w:bookmarkStart w:id="38" w:name="_Ref467378463"/>
      <w:bookmarkStart w:id="39" w:name="_Ref467379094"/>
      <w:bookmarkStart w:id="40" w:name="_Ref467379214"/>
      <w:bookmarkStart w:id="41" w:name="_Toc259093669"/>
      <w:bookmarkStart w:id="42" w:name="_Ref467378404"/>
      <w:bookmarkStart w:id="43" w:name="_Ref467378499"/>
      <w:bookmarkStart w:id="44" w:name="_Ref467379205"/>
      <w:bookmarkStart w:id="45" w:name="_Ref467379225"/>
      <w:bookmarkStart w:id="46" w:name="_Ref467379195"/>
      <w:bookmarkStart w:id="47" w:name="_Toc16917"/>
      <w:bookmarkStart w:id="48" w:name="_Toc28763"/>
      <w:bookmarkStart w:id="49" w:name="_Ref467379101"/>
      <w:bookmarkStart w:id="50" w:name="_Toc19614"/>
      <w:bookmarkStart w:id="51" w:name="_Toc487900349"/>
      <w:bookmarkStart w:id="52" w:name="_Ref467379109"/>
      <w:r>
        <w:rPr>
          <w:rFonts w:hint="eastAsia" w:ascii="仿宋" w:hAnsi="仿宋" w:eastAsia="仿宋" w:cs="仿宋"/>
          <w:b/>
          <w:color w:val="auto"/>
          <w:sz w:val="24"/>
          <w:highlight w:val="none"/>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3" w:name="_Ref467378840"/>
      <w:r>
        <w:rPr>
          <w:rFonts w:hint="eastAsia" w:ascii="仿宋" w:hAnsi="仿宋" w:eastAsia="仿宋" w:cs="仿宋"/>
          <w:color w:val="auto"/>
          <w:sz w:val="24"/>
          <w:highlight w:val="none"/>
        </w:rPr>
        <w:t>2.1.4 “甲方”系指与中标供应商签署合同的采购人</w:t>
      </w:r>
      <w:bookmarkEnd w:id="53"/>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4" w:name="_Ref467379400"/>
      <w:r>
        <w:rPr>
          <w:rFonts w:hint="eastAsia" w:ascii="仿宋" w:hAnsi="仿宋" w:eastAsia="仿宋" w:cs="仿宋"/>
          <w:color w:val="auto"/>
          <w:sz w:val="24"/>
          <w:highlight w:val="none"/>
        </w:rPr>
        <w:t>2.1.5 “乙方”系指根据合同约定交付货物的中标供应商</w:t>
      </w:r>
      <w:bookmarkEnd w:id="5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5" w:name="_Ref467379436"/>
      <w:r>
        <w:rPr>
          <w:rFonts w:hint="eastAsia" w:ascii="仿宋" w:hAnsi="仿宋" w:eastAsia="仿宋" w:cs="仿宋"/>
          <w:color w:val="auto"/>
          <w:sz w:val="24"/>
          <w:highlight w:val="none"/>
        </w:rPr>
        <w:t>2.1.6 “现场”系指合同约定货物将要运至或者安装的地点。</w:t>
      </w:r>
      <w:bookmarkEnd w:id="55"/>
    </w:p>
    <w:p>
      <w:pPr>
        <w:spacing w:line="560" w:lineRule="exact"/>
        <w:ind w:firstLine="482" w:firstLineChars="200"/>
        <w:outlineLvl w:val="0"/>
        <w:rPr>
          <w:rFonts w:hint="eastAsia" w:ascii="仿宋" w:hAnsi="仿宋" w:eastAsia="仿宋" w:cs="仿宋"/>
          <w:b/>
          <w:color w:val="auto"/>
          <w:sz w:val="24"/>
          <w:highlight w:val="none"/>
        </w:rPr>
      </w:pPr>
      <w:bookmarkStart w:id="56" w:name="_Toc13336"/>
      <w:bookmarkStart w:id="57" w:name="_Toc27635"/>
      <w:bookmarkStart w:id="58" w:name="_Toc487900350"/>
      <w:bookmarkStart w:id="59" w:name="_Toc32504"/>
      <w:bookmarkStart w:id="60" w:name="_Toc279701241"/>
      <w:bookmarkStart w:id="61" w:name="_Toc259093670"/>
      <w:r>
        <w:rPr>
          <w:rFonts w:hint="eastAsia" w:ascii="仿宋" w:hAnsi="仿宋" w:eastAsia="仿宋" w:cs="仿宋"/>
          <w:b/>
          <w:color w:val="auto"/>
          <w:sz w:val="24"/>
          <w:highlight w:val="none"/>
        </w:rPr>
        <w:t>2.2 技术规范</w:t>
      </w:r>
      <w:bookmarkEnd w:id="56"/>
      <w:bookmarkEnd w:id="57"/>
      <w:bookmarkEnd w:id="58"/>
      <w:bookmarkEnd w:id="59"/>
      <w:bookmarkEnd w:id="60"/>
      <w:bookmarkEnd w:id="6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2" w:name="_Toc31634"/>
      <w:bookmarkStart w:id="63" w:name="_Toc259093671"/>
      <w:bookmarkStart w:id="64" w:name="_Toc27853"/>
      <w:bookmarkStart w:id="65" w:name="_Toc279701242"/>
      <w:bookmarkStart w:id="66" w:name="_Toc487900351"/>
      <w:bookmarkStart w:id="67" w:name="_Toc9829"/>
      <w:r>
        <w:rPr>
          <w:rFonts w:hint="eastAsia" w:ascii="仿宋" w:hAnsi="仿宋" w:eastAsia="仿宋" w:cs="仿宋"/>
          <w:b/>
          <w:color w:val="auto"/>
          <w:sz w:val="24"/>
          <w:highlight w:val="none"/>
        </w:rPr>
        <w:t>2.3 知识产权</w:t>
      </w:r>
      <w:bookmarkEnd w:id="62"/>
      <w:bookmarkEnd w:id="63"/>
      <w:bookmarkEnd w:id="64"/>
      <w:bookmarkEnd w:id="65"/>
      <w:bookmarkEnd w:id="66"/>
      <w:bookmarkEnd w:id="6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8" w:name="_Toc4194"/>
      <w:bookmarkStart w:id="69" w:name="_Toc29149"/>
      <w:bookmarkStart w:id="70" w:name="_Toc11932"/>
      <w:r>
        <w:rPr>
          <w:rFonts w:hint="eastAsia" w:ascii="仿宋" w:hAnsi="仿宋" w:eastAsia="仿宋" w:cs="仿宋"/>
          <w:b/>
          <w:color w:val="auto"/>
          <w:sz w:val="24"/>
          <w:highlight w:val="none"/>
        </w:rPr>
        <w:t>2.4 包装和装运</w:t>
      </w:r>
      <w:bookmarkEnd w:id="68"/>
      <w:bookmarkEnd w:id="69"/>
      <w:bookmarkEnd w:id="7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1" w:name="_Toc279701245"/>
      <w:bookmarkStart w:id="72" w:name="_Ref467378591"/>
      <w:bookmarkStart w:id="73" w:name="_Toc487900354"/>
      <w:bookmarkStart w:id="74" w:name="_Ref467379542"/>
      <w:bookmarkStart w:id="75" w:name="_Ref467379527"/>
      <w:bookmarkStart w:id="76" w:name="_Ref467378541"/>
      <w:bookmarkStart w:id="77" w:name="_Toc259093674"/>
      <w:bookmarkStart w:id="78" w:name="_Ref467379536"/>
      <w:bookmarkStart w:id="79" w:name="_Toc30272"/>
      <w:bookmarkStart w:id="80" w:name="_Toc19074"/>
      <w:bookmarkStart w:id="81" w:name="_Toc26182"/>
      <w:r>
        <w:rPr>
          <w:rFonts w:hint="eastAsia" w:ascii="仿宋" w:hAnsi="仿宋" w:eastAsia="仿宋" w:cs="仿宋"/>
          <w:b/>
          <w:color w:val="auto"/>
          <w:sz w:val="24"/>
          <w:highlight w:val="none"/>
        </w:rPr>
        <w:t>2.</w:t>
      </w:r>
      <w:bookmarkEnd w:id="71"/>
      <w:bookmarkEnd w:id="72"/>
      <w:bookmarkEnd w:id="73"/>
      <w:bookmarkEnd w:id="74"/>
      <w:bookmarkEnd w:id="75"/>
      <w:bookmarkEnd w:id="76"/>
      <w:bookmarkEnd w:id="77"/>
      <w:bookmarkEnd w:id="78"/>
      <w:r>
        <w:rPr>
          <w:rFonts w:hint="eastAsia" w:ascii="仿宋" w:hAnsi="仿宋" w:eastAsia="仿宋" w:cs="仿宋"/>
          <w:b/>
          <w:color w:val="auto"/>
          <w:sz w:val="24"/>
          <w:highlight w:val="none"/>
        </w:rPr>
        <w:t>5 履约检查和问题反馈</w:t>
      </w:r>
      <w:bookmarkEnd w:id="79"/>
      <w:bookmarkEnd w:id="80"/>
      <w:bookmarkEnd w:id="81"/>
    </w:p>
    <w:p>
      <w:pPr>
        <w:spacing w:line="560" w:lineRule="exact"/>
        <w:ind w:firstLine="480" w:firstLineChars="200"/>
        <w:rPr>
          <w:rFonts w:hint="eastAsia" w:ascii="仿宋" w:hAnsi="仿宋" w:eastAsia="仿宋" w:cs="仿宋"/>
          <w:color w:val="auto"/>
          <w:sz w:val="24"/>
          <w:highlight w:val="none"/>
        </w:rPr>
      </w:pPr>
      <w:bookmarkStart w:id="82" w:name="_Ref467379657"/>
      <w:r>
        <w:rPr>
          <w:rFonts w:hint="eastAsia" w:ascii="仿宋" w:hAnsi="仿宋" w:eastAsia="仿宋" w:cs="仿宋"/>
          <w:color w:val="auto"/>
          <w:sz w:val="24"/>
          <w:highlight w:val="none"/>
        </w:rPr>
        <w:t>2.5.1</w:t>
      </w:r>
      <w:bookmarkEnd w:id="82"/>
      <w:bookmarkStart w:id="83" w:name="_Toc186431854"/>
      <w:bookmarkStart w:id="84" w:name="_Toc259093676"/>
      <w:bookmarkStart w:id="85" w:name="_Ref467379807"/>
      <w:bookmarkStart w:id="86" w:name="_Ref467379793"/>
      <w:bookmarkStart w:id="87" w:name="_Toc487900357"/>
      <w:bookmarkStart w:id="88"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color w:val="auto"/>
          <w:sz w:val="24"/>
          <w:highlight w:val="none"/>
        </w:rPr>
        <w:t>。</w:t>
      </w:r>
    </w:p>
    <w:bookmarkEnd w:id="84"/>
    <w:bookmarkEnd w:id="85"/>
    <w:bookmarkEnd w:id="86"/>
    <w:bookmarkEnd w:id="87"/>
    <w:bookmarkEnd w:id="88"/>
    <w:bookmarkEnd w:id="89"/>
    <w:p>
      <w:pPr>
        <w:spacing w:line="560" w:lineRule="exact"/>
        <w:ind w:firstLine="482" w:firstLineChars="200"/>
        <w:outlineLvl w:val="0"/>
        <w:rPr>
          <w:rFonts w:hint="eastAsia" w:ascii="仿宋" w:hAnsi="仿宋" w:eastAsia="仿宋" w:cs="仿宋"/>
          <w:b/>
          <w:color w:val="auto"/>
          <w:sz w:val="24"/>
          <w:highlight w:val="none"/>
        </w:rPr>
      </w:pPr>
      <w:bookmarkStart w:id="90" w:name="_Toc279701248"/>
      <w:bookmarkStart w:id="91" w:name="_Ref467379923"/>
      <w:bookmarkStart w:id="92" w:name="_Toc487900358"/>
      <w:bookmarkStart w:id="93" w:name="_Toc259093677"/>
      <w:bookmarkStart w:id="94" w:name="_Ref467379852"/>
      <w:bookmarkStart w:id="95" w:name="_Ref467379863"/>
      <w:bookmarkStart w:id="96" w:name="_Toc3225"/>
      <w:bookmarkStart w:id="97" w:name="_Toc774"/>
      <w:bookmarkStart w:id="98" w:name="_Toc16110"/>
      <w:r>
        <w:rPr>
          <w:rFonts w:hint="eastAsia" w:ascii="仿宋" w:hAnsi="仿宋" w:eastAsia="仿宋" w:cs="仿宋"/>
          <w:b/>
          <w:color w:val="auto"/>
          <w:sz w:val="24"/>
          <w:highlight w:val="none"/>
        </w:rPr>
        <w:t>2.6 技术资料</w:t>
      </w:r>
      <w:bookmarkEnd w:id="90"/>
      <w:bookmarkEnd w:id="91"/>
      <w:bookmarkEnd w:id="92"/>
      <w:bookmarkEnd w:id="93"/>
      <w:bookmarkEnd w:id="94"/>
      <w:bookmarkEnd w:id="95"/>
      <w:r>
        <w:rPr>
          <w:rFonts w:hint="eastAsia" w:ascii="仿宋" w:hAnsi="仿宋" w:eastAsia="仿宋" w:cs="仿宋"/>
          <w:b/>
          <w:color w:val="auto"/>
          <w:sz w:val="24"/>
          <w:highlight w:val="none"/>
        </w:rPr>
        <w:t>和保密义务</w:t>
      </w:r>
      <w:bookmarkEnd w:id="96"/>
      <w:bookmarkEnd w:id="97"/>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99" w:name="_Toc7860"/>
      <w:r>
        <w:rPr>
          <w:rFonts w:hint="eastAsia" w:ascii="仿宋" w:hAnsi="仿宋" w:eastAsia="仿宋" w:cs="仿宋"/>
          <w:b/>
          <w:color w:val="auto"/>
          <w:sz w:val="24"/>
          <w:highlight w:val="none"/>
        </w:rPr>
        <w:t>2.7 质量保证</w:t>
      </w:r>
      <w:bookmarkEnd w:id="9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0" w:name="_Toc17244"/>
      <w:bookmarkStart w:id="101" w:name="_Toc487900362"/>
      <w:bookmarkStart w:id="102" w:name="_Toc279701252"/>
      <w:bookmarkStart w:id="103" w:name="_Toc259093681"/>
      <w:r>
        <w:rPr>
          <w:rFonts w:hint="eastAsia" w:ascii="仿宋" w:hAnsi="仿宋" w:eastAsia="仿宋" w:cs="仿宋"/>
          <w:b/>
          <w:color w:val="auto"/>
          <w:sz w:val="24"/>
          <w:highlight w:val="none"/>
        </w:rPr>
        <w:t>2.8 货物的风险负担</w:t>
      </w:r>
      <w:bookmarkEnd w:id="10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4" w:name="_Toc14055"/>
      <w:r>
        <w:rPr>
          <w:rFonts w:hint="eastAsia" w:ascii="仿宋" w:hAnsi="仿宋" w:eastAsia="仿宋" w:cs="仿宋"/>
          <w:b/>
          <w:color w:val="auto"/>
          <w:sz w:val="24"/>
          <w:highlight w:val="none"/>
        </w:rPr>
        <w:t>2.9 延迟交货</w:t>
      </w:r>
      <w:bookmarkEnd w:id="101"/>
      <w:bookmarkEnd w:id="102"/>
      <w:bookmarkEnd w:id="103"/>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5" w:name="_Toc7502"/>
      <w:bookmarkStart w:id="106" w:name="_Ref467378121"/>
      <w:bookmarkStart w:id="107" w:name="_Toc279701254"/>
      <w:bookmarkStart w:id="108" w:name="_Toc487900364"/>
      <w:bookmarkStart w:id="109" w:name="_Toc259093683"/>
      <w:r>
        <w:rPr>
          <w:rFonts w:hint="eastAsia" w:ascii="仿宋" w:hAnsi="仿宋" w:eastAsia="仿宋" w:cs="仿宋"/>
          <w:b/>
          <w:color w:val="auto"/>
          <w:sz w:val="24"/>
          <w:highlight w:val="none"/>
        </w:rPr>
        <w:t>2.10 合同变更</w:t>
      </w:r>
      <w:bookmarkEnd w:id="10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0" w:name="_Toc487900369"/>
      <w:bookmarkStart w:id="111" w:name="_Toc279701259"/>
      <w:bookmarkStart w:id="112" w:name="_Toc259093688"/>
    </w:p>
    <w:p>
      <w:pPr>
        <w:spacing w:line="560" w:lineRule="exact"/>
        <w:ind w:firstLine="482" w:firstLineChars="200"/>
        <w:outlineLvl w:val="0"/>
        <w:rPr>
          <w:rFonts w:hint="eastAsia" w:ascii="仿宋" w:hAnsi="仿宋" w:eastAsia="仿宋" w:cs="仿宋"/>
          <w:b/>
          <w:color w:val="auto"/>
          <w:sz w:val="24"/>
          <w:highlight w:val="none"/>
        </w:rPr>
      </w:pPr>
      <w:bookmarkStart w:id="113" w:name="_Toc15237"/>
      <w:bookmarkStart w:id="114" w:name="_Toc10366"/>
      <w:bookmarkStart w:id="115" w:name="_Toc22955"/>
      <w:r>
        <w:rPr>
          <w:rFonts w:hint="eastAsia" w:ascii="仿宋" w:hAnsi="仿宋" w:eastAsia="仿宋" w:cs="仿宋"/>
          <w:b/>
          <w:color w:val="auto"/>
          <w:sz w:val="24"/>
          <w:highlight w:val="none"/>
        </w:rPr>
        <w:t>2.11 合同转让</w:t>
      </w:r>
      <w:bookmarkEnd w:id="110"/>
      <w:bookmarkEnd w:id="111"/>
      <w:bookmarkEnd w:id="112"/>
      <w:r>
        <w:rPr>
          <w:rFonts w:hint="eastAsia" w:ascii="仿宋" w:hAnsi="仿宋" w:eastAsia="仿宋" w:cs="仿宋"/>
          <w:b/>
          <w:color w:val="auto"/>
          <w:sz w:val="24"/>
          <w:highlight w:val="none"/>
        </w:rPr>
        <w:t>和分包</w:t>
      </w:r>
      <w:bookmarkEnd w:id="113"/>
      <w:bookmarkEnd w:id="114"/>
      <w:bookmarkEnd w:id="115"/>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6" w:name="_Toc13566"/>
      <w:bookmarkStart w:id="117" w:name="_Toc16508"/>
      <w:bookmarkStart w:id="118" w:name="_Toc14066"/>
      <w:r>
        <w:rPr>
          <w:rFonts w:hint="eastAsia" w:ascii="仿宋" w:hAnsi="仿宋" w:eastAsia="仿宋" w:cs="仿宋"/>
          <w:b/>
          <w:color w:val="auto"/>
          <w:sz w:val="24"/>
          <w:highlight w:val="none"/>
        </w:rPr>
        <w:t>2.12 不可抗力</w:t>
      </w:r>
      <w:bookmarkEnd w:id="116"/>
      <w:bookmarkEnd w:id="117"/>
      <w:bookmarkEnd w:id="1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19" w:name="_Toc6969"/>
      <w:bookmarkStart w:id="120" w:name="_Toc30676"/>
      <w:bookmarkStart w:id="121" w:name="_Toc487900365"/>
      <w:bookmarkStart w:id="122" w:name="_Toc259093684"/>
      <w:bookmarkStart w:id="123" w:name="_Toc279701255"/>
      <w:bookmarkStart w:id="124" w:name="_Toc689"/>
      <w:r>
        <w:rPr>
          <w:rFonts w:hint="eastAsia" w:ascii="仿宋" w:hAnsi="仿宋" w:eastAsia="仿宋" w:cs="仿宋"/>
          <w:b/>
          <w:color w:val="auto"/>
          <w:sz w:val="24"/>
          <w:highlight w:val="none"/>
        </w:rPr>
        <w:t>2.13 税费</w:t>
      </w:r>
      <w:bookmarkEnd w:id="119"/>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5" w:name="_Toc8298"/>
      <w:bookmarkStart w:id="126" w:name="_Toc259093687"/>
      <w:bookmarkStart w:id="127" w:name="_Toc279701258"/>
      <w:bookmarkStart w:id="128" w:name="_Toc487900368"/>
      <w:bookmarkStart w:id="129" w:name="_Toc16959"/>
      <w:bookmarkStart w:id="130" w:name="_Toc7102"/>
      <w:r>
        <w:rPr>
          <w:rFonts w:hint="eastAsia" w:ascii="仿宋" w:hAnsi="仿宋" w:eastAsia="仿宋" w:cs="仿宋"/>
          <w:b/>
          <w:color w:val="auto"/>
          <w:sz w:val="24"/>
          <w:highlight w:val="none"/>
        </w:rPr>
        <w:t>2.14乙方破产</w:t>
      </w:r>
      <w:bookmarkEnd w:id="125"/>
      <w:bookmarkEnd w:id="126"/>
      <w:bookmarkEnd w:id="127"/>
      <w:bookmarkEnd w:id="128"/>
      <w:bookmarkEnd w:id="129"/>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1" w:name="_Toc15387"/>
      <w:bookmarkStart w:id="132" w:name="_Toc6134"/>
      <w:bookmarkStart w:id="133" w:name="_Toc29333"/>
      <w:r>
        <w:rPr>
          <w:rFonts w:hint="eastAsia" w:ascii="仿宋" w:hAnsi="仿宋" w:eastAsia="仿宋" w:cs="仿宋"/>
          <w:b/>
          <w:color w:val="auto"/>
          <w:sz w:val="24"/>
          <w:highlight w:val="none"/>
        </w:rPr>
        <w:t>2.15 合同中止、终止</w:t>
      </w:r>
      <w:bookmarkEnd w:id="131"/>
      <w:bookmarkEnd w:id="132"/>
      <w:bookmarkEnd w:id="13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4" w:name="_Toc6596"/>
      <w:bookmarkStart w:id="135" w:name="_Toc1125"/>
      <w:bookmarkStart w:id="136" w:name="_Toc14563"/>
      <w:r>
        <w:rPr>
          <w:rFonts w:hint="eastAsia" w:ascii="仿宋" w:hAnsi="仿宋" w:eastAsia="仿宋" w:cs="仿宋"/>
          <w:b/>
          <w:color w:val="auto"/>
          <w:sz w:val="24"/>
          <w:highlight w:val="none"/>
        </w:rPr>
        <w:t>2.16检验和验收</w:t>
      </w:r>
      <w:bookmarkEnd w:id="134"/>
      <w:bookmarkEnd w:id="135"/>
      <w:bookmarkEnd w:id="136"/>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6"/>
    <w:bookmarkEnd w:id="107"/>
    <w:bookmarkEnd w:id="108"/>
    <w:bookmarkEnd w:id="109"/>
    <w:p>
      <w:pPr>
        <w:spacing w:line="560" w:lineRule="exact"/>
        <w:ind w:firstLine="482" w:firstLineChars="200"/>
        <w:outlineLvl w:val="0"/>
        <w:rPr>
          <w:rFonts w:hint="eastAsia" w:ascii="仿宋" w:hAnsi="仿宋" w:eastAsia="仿宋" w:cs="仿宋"/>
          <w:b/>
          <w:color w:val="auto"/>
          <w:sz w:val="24"/>
          <w:highlight w:val="none"/>
        </w:rPr>
      </w:pPr>
      <w:bookmarkStart w:id="137" w:name="_Toc279701261"/>
      <w:bookmarkStart w:id="138" w:name="_Toc487900371"/>
      <w:bookmarkStart w:id="139" w:name="_Toc259093690"/>
      <w:bookmarkStart w:id="140" w:name="_Toc25182"/>
      <w:bookmarkStart w:id="141" w:name="_Toc19604"/>
      <w:bookmarkStart w:id="142" w:name="_Toc11284"/>
      <w:r>
        <w:rPr>
          <w:rFonts w:hint="eastAsia" w:ascii="仿宋" w:hAnsi="仿宋" w:eastAsia="仿宋" w:cs="仿宋"/>
          <w:b/>
          <w:color w:val="auto"/>
          <w:sz w:val="24"/>
          <w:highlight w:val="none"/>
        </w:rPr>
        <w:t>2.17 通知</w:t>
      </w:r>
      <w:bookmarkEnd w:id="137"/>
      <w:bookmarkEnd w:id="138"/>
      <w:bookmarkEnd w:id="139"/>
      <w:r>
        <w:rPr>
          <w:rFonts w:hint="eastAsia" w:ascii="仿宋" w:hAnsi="仿宋" w:eastAsia="仿宋" w:cs="仿宋"/>
          <w:b/>
          <w:color w:val="auto"/>
          <w:sz w:val="24"/>
          <w:highlight w:val="none"/>
        </w:rPr>
        <w:t>和送达</w:t>
      </w:r>
      <w:bookmarkEnd w:id="140"/>
      <w:bookmarkEnd w:id="141"/>
      <w:bookmarkEnd w:id="142"/>
    </w:p>
    <w:p>
      <w:pPr>
        <w:spacing w:line="560" w:lineRule="exact"/>
        <w:ind w:firstLine="480" w:firstLineChars="200"/>
        <w:rPr>
          <w:rFonts w:hint="eastAsia" w:ascii="仿宋" w:hAnsi="仿宋" w:eastAsia="仿宋" w:cs="仿宋"/>
          <w:color w:val="auto"/>
          <w:sz w:val="24"/>
          <w:highlight w:val="none"/>
        </w:rPr>
      </w:pPr>
      <w:bookmarkStart w:id="143" w:name="_Toc3135"/>
      <w:bookmarkStart w:id="144" w:name="_Toc6698"/>
      <w:bookmarkStart w:id="145" w:name="_Toc487900372"/>
      <w:bookmarkStart w:id="146" w:name="_Toc259093691"/>
      <w:bookmarkStart w:id="147"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43"/>
      <w:bookmarkEnd w:id="144"/>
    </w:p>
    <w:p>
      <w:pPr>
        <w:spacing w:line="560" w:lineRule="exact"/>
        <w:ind w:firstLine="480" w:firstLineChars="200"/>
        <w:rPr>
          <w:rFonts w:hint="eastAsia" w:ascii="仿宋" w:hAnsi="仿宋" w:eastAsia="仿宋" w:cs="仿宋"/>
          <w:color w:val="auto"/>
          <w:sz w:val="24"/>
          <w:highlight w:val="none"/>
        </w:rPr>
      </w:pPr>
      <w:bookmarkStart w:id="148" w:name="_Toc23128"/>
      <w:bookmarkStart w:id="149"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spacing w:line="560" w:lineRule="exact"/>
        <w:ind w:firstLine="482" w:firstLineChars="200"/>
        <w:outlineLvl w:val="0"/>
        <w:rPr>
          <w:rFonts w:hint="eastAsia" w:ascii="仿宋" w:hAnsi="仿宋" w:eastAsia="仿宋" w:cs="仿宋"/>
          <w:b/>
          <w:color w:val="auto"/>
          <w:sz w:val="24"/>
          <w:highlight w:val="none"/>
        </w:rPr>
      </w:pPr>
      <w:bookmarkStart w:id="150" w:name="_Toc30599"/>
      <w:bookmarkStart w:id="151" w:name="_Toc4355"/>
      <w:bookmarkStart w:id="152" w:name="_Toc18540"/>
      <w:r>
        <w:rPr>
          <w:rFonts w:hint="eastAsia" w:ascii="仿宋" w:hAnsi="仿宋" w:eastAsia="仿宋" w:cs="仿宋"/>
          <w:b/>
          <w:color w:val="auto"/>
          <w:sz w:val="24"/>
          <w:highlight w:val="none"/>
        </w:rPr>
        <w:t>2.18 计量单位</w:t>
      </w:r>
      <w:bookmarkEnd w:id="145"/>
      <w:bookmarkEnd w:id="146"/>
      <w:bookmarkEnd w:id="147"/>
      <w:bookmarkEnd w:id="150"/>
      <w:bookmarkEnd w:id="151"/>
      <w:bookmarkEnd w:id="1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3" w:name="_Toc12773"/>
      <w:bookmarkStart w:id="154" w:name="_Toc18567"/>
      <w:bookmarkStart w:id="155" w:name="_Toc10330"/>
      <w:bookmarkStart w:id="156" w:name="_Toc259093692"/>
      <w:bookmarkStart w:id="157" w:name="_Toc279701263"/>
      <w:bookmarkStart w:id="158" w:name="_Toc487900373"/>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9" w:name="_Toc12004"/>
      <w:bookmarkStart w:id="160" w:name="_Toc259093693"/>
      <w:bookmarkStart w:id="161" w:name="_Toc279701264"/>
      <w:bookmarkStart w:id="162" w:name="_Toc16673"/>
      <w:bookmarkStart w:id="163" w:name="_Toc3148"/>
      <w:bookmarkStart w:id="164" w:name="_Toc487900374"/>
      <w:r>
        <w:rPr>
          <w:rFonts w:hint="eastAsia" w:ascii="仿宋" w:hAnsi="仿宋" w:eastAsia="仿宋" w:cs="仿宋"/>
          <w:b/>
          <w:color w:val="auto"/>
          <w:sz w:val="24"/>
          <w:highlight w:val="none"/>
        </w:rPr>
        <w:t>2.20 履约保证金</w:t>
      </w:r>
      <w:bookmarkEnd w:id="159"/>
      <w:bookmarkEnd w:id="160"/>
      <w:bookmarkEnd w:id="161"/>
      <w:bookmarkEnd w:id="162"/>
      <w:bookmarkEnd w:id="163"/>
    </w:p>
    <w:p>
      <w:pPr>
        <w:pStyle w:val="284"/>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4"/>
    <w:p>
      <w:pPr>
        <w:spacing w:line="560" w:lineRule="exact"/>
        <w:ind w:firstLine="482" w:firstLineChars="200"/>
        <w:outlineLvl w:val="0"/>
        <w:rPr>
          <w:rFonts w:hint="eastAsia" w:ascii="仿宋" w:hAnsi="仿宋" w:eastAsia="仿宋" w:cs="仿宋"/>
          <w:b/>
          <w:color w:val="auto"/>
          <w:sz w:val="24"/>
          <w:highlight w:val="none"/>
        </w:rPr>
      </w:pPr>
      <w:bookmarkStart w:id="165" w:name="_Toc6885"/>
      <w:bookmarkStart w:id="166" w:name="_Toc14001"/>
      <w:bookmarkStart w:id="167" w:name="_Toc19890"/>
      <w:r>
        <w:rPr>
          <w:rFonts w:hint="eastAsia" w:ascii="仿宋" w:hAnsi="仿宋" w:eastAsia="仿宋" w:cs="仿宋"/>
          <w:b/>
          <w:color w:val="auto"/>
          <w:sz w:val="24"/>
          <w:highlight w:val="none"/>
        </w:rPr>
        <w:t>2.22合同份数</w:t>
      </w:r>
      <w:bookmarkEnd w:id="165"/>
      <w:bookmarkEnd w:id="166"/>
      <w:bookmarkEnd w:id="16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2.23本项目涉及柴油动力移动源的，该移动源应当符合低排放要求。</w:t>
      </w:r>
    </w:p>
    <w:p>
      <w:pPr>
        <w:pStyle w:val="283"/>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8" w:name="_Toc331685784"/>
      <w:r>
        <w:rPr>
          <w:rFonts w:hint="eastAsia" w:ascii="仿宋" w:hAnsi="仿宋" w:eastAsia="仿宋" w:cs="仿宋"/>
          <w:b/>
          <w:color w:val="auto"/>
          <w:szCs w:val="24"/>
          <w:highlight w:val="none"/>
        </w:rPr>
        <w:t xml:space="preserve"> </w:t>
      </w:r>
      <w:bookmarkEnd w:id="168"/>
      <w:r>
        <w:rPr>
          <w:rFonts w:hint="eastAsia" w:ascii="仿宋" w:hAnsi="仿宋" w:eastAsia="仿宋" w:cs="仿宋"/>
          <w:b/>
          <w:color w:val="auto"/>
          <w:szCs w:val="24"/>
          <w:highlight w:val="none"/>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2.22 </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3"/>
        <w:spacing w:line="800" w:lineRule="exact"/>
        <w:ind w:firstLine="723"/>
        <w:jc w:val="center"/>
        <w:rPr>
          <w:rFonts w:hint="eastAsia" w:ascii="仿宋" w:hAnsi="仿宋" w:eastAsia="仿宋" w:cs="仿宋"/>
          <w:b/>
          <w:color w:val="auto"/>
          <w:sz w:val="36"/>
          <w:szCs w:val="36"/>
          <w:highlight w:val="none"/>
        </w:rPr>
      </w:pP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numPr>
          <w:ilvl w:val="0"/>
          <w:numId w:val="5"/>
        </w:numPr>
        <w:spacing w:line="440" w:lineRule="exact"/>
        <w:ind w:left="360" w:leftChars="0" w:hanging="360" w:firstLine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w:t>
      </w:r>
      <w:r>
        <w:rPr>
          <w:rFonts w:hint="eastAsia" w:ascii="仿宋" w:hAnsi="仿宋" w:eastAsia="仿宋" w:cs="仿宋"/>
          <w:color w:val="auto"/>
          <w:sz w:val="24"/>
          <w:highlight w:val="none"/>
          <w:lang w:val="en-US" w:eastAsia="zh-CN"/>
        </w:rPr>
        <w:t>01标</w:t>
      </w:r>
      <w:r>
        <w:rPr>
          <w:rFonts w:hint="eastAsia" w:ascii="仿宋" w:hAnsi="仿宋" w:eastAsia="仿宋" w:cs="仿宋"/>
          <w:color w:val="auto"/>
          <w:sz w:val="24"/>
          <w:highlight w:val="none"/>
        </w:rPr>
        <w:t>商务技术分</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0分，</w:t>
      </w:r>
      <w:r>
        <w:rPr>
          <w:rFonts w:hint="eastAsia" w:ascii="仿宋" w:hAnsi="仿宋" w:eastAsia="仿宋" w:cs="仿宋"/>
          <w:color w:val="auto"/>
          <w:sz w:val="24"/>
          <w:highlight w:val="none"/>
          <w:lang w:val="en-US" w:eastAsia="zh-CN"/>
        </w:rPr>
        <w:t>02标</w:t>
      </w:r>
      <w:r>
        <w:rPr>
          <w:rFonts w:hint="eastAsia" w:ascii="仿宋" w:hAnsi="仿宋" w:eastAsia="仿宋" w:cs="仿宋"/>
          <w:color w:val="auto"/>
          <w:sz w:val="24"/>
          <w:highlight w:val="none"/>
        </w:rPr>
        <w:t>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01标</w:t>
      </w:r>
      <w:r>
        <w:rPr>
          <w:rFonts w:hint="eastAsia" w:ascii="仿宋" w:hAnsi="仿宋" w:eastAsia="仿宋" w:cs="仿宋"/>
          <w:color w:val="auto"/>
          <w:sz w:val="24"/>
          <w:highlight w:val="none"/>
        </w:rPr>
        <w:t>价格分</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02标</w:t>
      </w:r>
      <w:r>
        <w:rPr>
          <w:rFonts w:hint="eastAsia" w:ascii="仿宋" w:hAnsi="仿宋" w:eastAsia="仿宋" w:cs="仿宋"/>
          <w:color w:val="auto"/>
          <w:sz w:val="24"/>
          <w:highlight w:val="none"/>
        </w:rPr>
        <w:t>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pStyle w:val="20"/>
        <w:spacing w:line="360" w:lineRule="auto"/>
        <w:ind w:left="842" w:hanging="422"/>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p>
    <w:p>
      <w:pPr>
        <w:pStyle w:val="20"/>
        <w:spacing w:line="360" w:lineRule="auto"/>
        <w:ind w:left="842" w:hanging="422"/>
        <w:rPr>
          <w:rFonts w:hint="eastAsia" w:ascii="仿宋" w:hAnsi="仿宋" w:eastAsia="仿宋" w:cs="仿宋"/>
          <w:color w:val="auto"/>
          <w:sz w:val="24"/>
          <w:highlight w:val="none"/>
        </w:rPr>
      </w:pPr>
      <w:r>
        <w:rPr>
          <w:rFonts w:hint="eastAsia" w:ascii="仿宋" w:hAnsi="仿宋" w:eastAsia="仿宋" w:cs="仿宋"/>
          <w:b/>
          <w:bCs/>
          <w:color w:val="auto"/>
          <w:highlight w:val="none"/>
          <w:bdr w:val="single" w:color="auto" w:sz="4" w:space="0"/>
        </w:rPr>
        <w:t>0</w:t>
      </w:r>
      <w:r>
        <w:rPr>
          <w:rFonts w:hint="eastAsia" w:ascii="仿宋" w:hAnsi="仿宋" w:eastAsia="仿宋" w:cs="仿宋"/>
          <w:b/>
          <w:bCs/>
          <w:color w:val="auto"/>
          <w:highlight w:val="none"/>
          <w:bdr w:val="single" w:color="auto" w:sz="4" w:space="0"/>
        </w:rPr>
        <w:t>1</w:t>
      </w:r>
      <w:r>
        <w:rPr>
          <w:rFonts w:hint="eastAsia" w:ascii="仿宋" w:hAnsi="仿宋" w:eastAsia="仿宋" w:cs="仿宋"/>
          <w:b/>
          <w:bCs/>
          <w:color w:val="auto"/>
          <w:highlight w:val="none"/>
          <w:bdr w:val="single" w:color="auto" w:sz="4" w:space="0"/>
        </w:rPr>
        <w:t>标</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8</w:t>
      </w:r>
      <w:r>
        <w:rPr>
          <w:rFonts w:hint="eastAsia" w:ascii="仿宋" w:hAnsi="仿宋" w:eastAsia="仿宋" w:cs="仿宋"/>
          <w:b/>
          <w:bCs/>
          <w:iCs/>
          <w:color w:val="auto"/>
          <w:sz w:val="24"/>
          <w:highlight w:val="none"/>
        </w:rPr>
        <w:t>0分）</w:t>
      </w:r>
    </w:p>
    <w:tbl>
      <w:tblPr>
        <w:tblStyle w:val="42"/>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725"/>
        <w:gridCol w:w="6349"/>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序号</w:t>
            </w:r>
          </w:p>
        </w:tc>
        <w:tc>
          <w:tcPr>
            <w:tcW w:w="1725"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评分内容</w:t>
            </w:r>
          </w:p>
        </w:tc>
        <w:tc>
          <w:tcPr>
            <w:tcW w:w="6349" w:type="dxa"/>
            <w:noWrap w:val="0"/>
            <w:vAlign w:val="top"/>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 分 说 明</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725"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主要技术参数响应性</w:t>
            </w:r>
          </w:p>
        </w:tc>
        <w:tc>
          <w:tcPr>
            <w:tcW w:w="6349"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满足招标文件要求的得</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分，打“▲”号的指标为主要功能、配置，如出现负偏离每项扣4分；其他一般性指标每有一项负偏离的扣2分，扣完为止。</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725"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承诺</w:t>
            </w:r>
          </w:p>
        </w:tc>
        <w:tc>
          <w:tcPr>
            <w:tcW w:w="6349"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投标人中标后承诺</w:t>
            </w:r>
            <w:r>
              <w:rPr>
                <w:rFonts w:hint="eastAsia" w:ascii="仿宋" w:hAnsi="仿宋" w:eastAsia="仿宋" w:cs="仿宋"/>
                <w:color w:val="auto"/>
                <w:sz w:val="21"/>
                <w:szCs w:val="21"/>
                <w:highlight w:val="none"/>
              </w:rPr>
              <w:t>提供厂家授权资质的得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未承诺不得分</w:t>
            </w:r>
            <w:r>
              <w:rPr>
                <w:rFonts w:hint="eastAsia" w:ascii="仿宋" w:hAnsi="仿宋" w:eastAsia="仿宋" w:cs="仿宋"/>
                <w:color w:val="auto"/>
                <w:sz w:val="21"/>
                <w:szCs w:val="21"/>
                <w:highlight w:val="none"/>
              </w:rPr>
              <w:t>。</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725"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企业实力</w:t>
            </w:r>
          </w:p>
        </w:tc>
        <w:tc>
          <w:tcPr>
            <w:tcW w:w="6349" w:type="dxa"/>
            <w:noWrap w:val="0"/>
            <w:vAlign w:val="center"/>
          </w:tcPr>
          <w:p>
            <w:pPr>
              <w:keepNext w:val="0"/>
              <w:keepLines w:val="0"/>
              <w:pageBreakBefore w:val="0"/>
              <w:widowControl/>
              <w:numPr>
                <w:ilvl w:val="0"/>
                <w:numId w:val="7"/>
              </w:numPr>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根据投标单位供货能力、信誉度、服务承诺、响应承诺等情况，由专家酌情打分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p>
          <w:p>
            <w:pPr>
              <w:keepNext w:val="0"/>
              <w:keepLines w:val="0"/>
              <w:pageBreakBefore w:val="0"/>
              <w:widowControl/>
              <w:numPr>
                <w:ilvl w:val="0"/>
                <w:numId w:val="7"/>
              </w:numPr>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提供用户服务满意度反馈表，每提供一份反馈结果为满意及以上的得1分，最高得5分，同一用户不重复计取。</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2" w:type="dxa"/>
            <w:noWrap w:val="0"/>
            <w:vAlign w:val="center"/>
          </w:tcPr>
          <w:p>
            <w:pPr>
              <w:keepNext w:val="0"/>
              <w:keepLines w:val="0"/>
              <w:pageBreakBefore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725" w:type="dxa"/>
            <w:noWrap w:val="0"/>
            <w:vAlign w:val="center"/>
          </w:tcPr>
          <w:p>
            <w:pPr>
              <w:keepNext w:val="0"/>
              <w:keepLines w:val="0"/>
              <w:pageBreakBefore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保修、保养服务方案</w:t>
            </w:r>
          </w:p>
        </w:tc>
        <w:tc>
          <w:tcPr>
            <w:tcW w:w="6349"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提供的保修服务内容、保养服务方案；提供远程服务和远程监控方案，客户服务专线电话服务内容和方案；是否具有较强的专业技术队伍，能提供快速的售后服务响应等。</w:t>
            </w:r>
          </w:p>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根据各公司的响应情况综合</w:t>
            </w:r>
            <w:r>
              <w:rPr>
                <w:rFonts w:hint="eastAsia" w:ascii="仿宋" w:hAnsi="仿宋" w:eastAsia="仿宋" w:cs="仿宋"/>
                <w:color w:val="auto"/>
                <w:sz w:val="21"/>
                <w:szCs w:val="21"/>
                <w:highlight w:val="none"/>
                <w:lang w:eastAsia="zh-CN"/>
              </w:rPr>
              <w:t>评审</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0-9分</w:t>
            </w:r>
            <w:r>
              <w:rPr>
                <w:rFonts w:hint="eastAsia" w:ascii="仿宋" w:hAnsi="仿宋" w:eastAsia="仿宋" w:cs="仿宋"/>
                <w:color w:val="auto"/>
                <w:sz w:val="21"/>
                <w:szCs w:val="21"/>
                <w:highlight w:val="none"/>
              </w:rPr>
              <w:t>。</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725"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投标人业绩</w:t>
            </w:r>
          </w:p>
        </w:tc>
        <w:tc>
          <w:tcPr>
            <w:tcW w:w="6349"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21</w:t>
            </w:r>
            <w:r>
              <w:rPr>
                <w:rFonts w:hint="eastAsia" w:ascii="仿宋" w:hAnsi="仿宋" w:eastAsia="仿宋" w:cs="仿宋"/>
                <w:color w:val="auto"/>
                <w:sz w:val="21"/>
                <w:szCs w:val="21"/>
                <w:highlight w:val="none"/>
              </w:rPr>
              <w:t>年1月至今案例合同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根据投标人所提供的同类产品案例合同，经评标小组认定为符合要求：每有一份得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725"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备品备件及零配件情况</w:t>
            </w:r>
          </w:p>
        </w:tc>
        <w:tc>
          <w:tcPr>
            <w:tcW w:w="6349"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在镜子维修时能及时（14天内）提供相应备品备件（镜子）的得8分；除镜子以外配套设备故障时也能提供相同型号备品备件（主机、光源等）的得8分，总分16分；</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725"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人员保障</w:t>
            </w:r>
          </w:p>
        </w:tc>
        <w:tc>
          <w:tcPr>
            <w:tcW w:w="6349" w:type="dxa"/>
            <w:noWrap w:val="0"/>
            <w:vAlign w:val="center"/>
          </w:tcPr>
          <w:p>
            <w:pPr>
              <w:keepNext w:val="0"/>
              <w:keepLines w:val="0"/>
              <w:pageBreakBefore w:val="0"/>
              <w:widowControl/>
              <w:tabs>
                <w:tab w:val="right" w:pos="5525"/>
              </w:tabs>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专业技术工程师</w:t>
            </w:r>
            <w:r>
              <w:rPr>
                <w:rFonts w:hint="eastAsia" w:ascii="仿宋" w:hAnsi="仿宋" w:eastAsia="仿宋" w:cs="仿宋"/>
                <w:color w:val="auto"/>
                <w:sz w:val="21"/>
                <w:szCs w:val="21"/>
                <w:highlight w:val="none"/>
                <w:lang w:eastAsia="zh-CN"/>
              </w:rPr>
              <w:t>每增加</w:t>
            </w:r>
            <w:r>
              <w:rPr>
                <w:rFonts w:hint="eastAsia" w:ascii="仿宋" w:hAnsi="仿宋" w:eastAsia="仿宋" w:cs="仿宋"/>
                <w:color w:val="auto"/>
                <w:sz w:val="21"/>
                <w:szCs w:val="21"/>
                <w:highlight w:val="none"/>
                <w:lang w:val="en-US" w:eastAsia="zh-CN"/>
              </w:rPr>
              <w:t>1名得2分，最高得6分。</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2"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1725"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其他优惠承诺</w:t>
            </w:r>
          </w:p>
        </w:tc>
        <w:tc>
          <w:tcPr>
            <w:tcW w:w="6349"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根据自身的能力，提供各种服务</w:t>
            </w:r>
            <w:r>
              <w:rPr>
                <w:rFonts w:hint="eastAsia" w:ascii="仿宋" w:hAnsi="仿宋" w:eastAsia="仿宋" w:cs="仿宋"/>
                <w:color w:val="auto"/>
                <w:sz w:val="21"/>
                <w:szCs w:val="21"/>
                <w:highlight w:val="none"/>
                <w:lang w:eastAsia="zh-CN"/>
              </w:rPr>
              <w:t>承诺</w:t>
            </w:r>
            <w:r>
              <w:rPr>
                <w:rFonts w:hint="eastAsia" w:ascii="仿宋" w:hAnsi="仿宋" w:eastAsia="仿宋" w:cs="仿宋"/>
                <w:color w:val="auto"/>
                <w:sz w:val="21"/>
                <w:szCs w:val="21"/>
                <w:highlight w:val="none"/>
              </w:rPr>
              <w:t>。</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r>
    </w:tbl>
    <w:p>
      <w:pPr>
        <w:pStyle w:val="20"/>
        <w:spacing w:line="360" w:lineRule="auto"/>
        <w:ind w:left="842" w:hanging="422"/>
        <w:rPr>
          <w:rFonts w:hint="eastAsia" w:ascii="仿宋" w:hAnsi="仿宋" w:eastAsia="仿宋" w:cs="仿宋"/>
          <w:color w:val="auto"/>
          <w:sz w:val="24"/>
          <w:highlight w:val="none"/>
        </w:rPr>
      </w:pPr>
      <w:r>
        <w:rPr>
          <w:rFonts w:hint="eastAsia" w:ascii="仿宋" w:hAnsi="仿宋" w:eastAsia="仿宋" w:cs="仿宋"/>
          <w:b/>
          <w:bCs/>
          <w:color w:val="auto"/>
          <w:highlight w:val="none"/>
          <w:bdr w:val="single" w:color="auto" w:sz="4" w:space="0"/>
        </w:rPr>
        <w:t>0</w:t>
      </w:r>
      <w:r>
        <w:rPr>
          <w:rFonts w:hint="eastAsia" w:ascii="仿宋" w:hAnsi="仿宋" w:eastAsia="仿宋" w:cs="仿宋"/>
          <w:b/>
          <w:bCs/>
          <w:color w:val="auto"/>
          <w:highlight w:val="none"/>
          <w:bdr w:val="single" w:color="auto" w:sz="4" w:space="0"/>
        </w:rPr>
        <w:t>1</w:t>
      </w:r>
      <w:r>
        <w:rPr>
          <w:rFonts w:hint="eastAsia" w:ascii="仿宋" w:hAnsi="仿宋" w:eastAsia="仿宋" w:cs="仿宋"/>
          <w:b/>
          <w:bCs/>
          <w:color w:val="auto"/>
          <w:highlight w:val="none"/>
          <w:bdr w:val="single" w:color="auto" w:sz="4" w:space="0"/>
        </w:rPr>
        <w:t>标</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2"/>
        <w:tblW w:w="9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440"/>
        <w:gridCol w:w="6640"/>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noWrap w:val="0"/>
            <w:vAlign w:val="center"/>
          </w:tcPr>
          <w:p>
            <w:pPr>
              <w:spacing w:line="360" w:lineRule="auto"/>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序号</w:t>
            </w:r>
          </w:p>
        </w:tc>
        <w:tc>
          <w:tcPr>
            <w:tcW w:w="1440" w:type="dxa"/>
            <w:noWrap w:val="0"/>
            <w:vAlign w:val="center"/>
          </w:tcPr>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评分内容</w:t>
            </w:r>
          </w:p>
        </w:tc>
        <w:tc>
          <w:tcPr>
            <w:tcW w:w="6640" w:type="dxa"/>
            <w:noWrap w:val="0"/>
            <w:vAlign w:val="top"/>
          </w:tcPr>
          <w:p>
            <w:pPr>
              <w:spacing w:line="360" w:lineRule="auto"/>
              <w:ind w:left="-115" w:leftChars="-55" w:right="-115" w:rightChars="-55"/>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 分 说 明</w:t>
            </w:r>
          </w:p>
        </w:tc>
        <w:tc>
          <w:tcPr>
            <w:tcW w:w="702" w:type="dxa"/>
            <w:noWrap w:val="0"/>
            <w:vAlign w:val="center"/>
          </w:tcPr>
          <w:p>
            <w:pPr>
              <w:spacing w:line="360" w:lineRule="auto"/>
              <w:ind w:left="-115" w:leftChars="-55" w:right="-115" w:rightChars="-55"/>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主要技术参数响应性</w:t>
            </w:r>
          </w:p>
        </w:tc>
        <w:tc>
          <w:tcPr>
            <w:tcW w:w="6640"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1.满足招标文件要求的得</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分，打“★”号的指标为实质性指标不允许出现负偏离，如出现负偏离则作无效投标处理；打“▲”号的指标为主要功能、配置，如出现负偏离每项扣4分；其他一般性指标每有一项负偏离的扣2分，扣完为止。</w:t>
            </w:r>
          </w:p>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2．若负偏离达到5个及以上的，且经评标小组认定为实质性不响应招标文件要求的，做无效投标处理。</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2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承诺</w:t>
            </w:r>
          </w:p>
        </w:tc>
        <w:tc>
          <w:tcPr>
            <w:tcW w:w="6640"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投标人中标后承诺</w:t>
            </w:r>
            <w:r>
              <w:rPr>
                <w:rFonts w:hint="eastAsia" w:ascii="仿宋" w:hAnsi="仿宋" w:eastAsia="仿宋" w:cs="仿宋"/>
                <w:color w:val="auto"/>
                <w:sz w:val="21"/>
                <w:szCs w:val="21"/>
                <w:highlight w:val="none"/>
              </w:rPr>
              <w:t>提供厂家授权资质的得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未承诺不得分</w:t>
            </w:r>
            <w:r>
              <w:rPr>
                <w:rFonts w:hint="eastAsia" w:ascii="仿宋" w:hAnsi="仿宋" w:eastAsia="仿宋" w:cs="仿宋"/>
                <w:color w:val="auto"/>
                <w:sz w:val="21"/>
                <w:szCs w:val="21"/>
                <w:highlight w:val="none"/>
              </w:rPr>
              <w:t>。</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企业实力</w:t>
            </w:r>
          </w:p>
        </w:tc>
        <w:tc>
          <w:tcPr>
            <w:tcW w:w="6640" w:type="dxa"/>
            <w:noWrap w:val="0"/>
            <w:vAlign w:val="center"/>
          </w:tcPr>
          <w:p>
            <w:pPr>
              <w:keepNext w:val="0"/>
              <w:keepLines w:val="0"/>
              <w:pageBreakBefore w:val="0"/>
              <w:widowControl/>
              <w:numPr>
                <w:ilvl w:val="0"/>
                <w:numId w:val="8"/>
              </w:numPr>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根据投标单位供货能力、信誉度、服务承诺、响应承诺等情况，由专家酌情打分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p>
          <w:p>
            <w:pPr>
              <w:keepNext w:val="0"/>
              <w:keepLines w:val="0"/>
              <w:pageBreakBefore w:val="0"/>
              <w:widowControl/>
              <w:numPr>
                <w:ilvl w:val="0"/>
                <w:numId w:val="8"/>
              </w:numPr>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提供用户服务满意度反馈表，每提供一份反馈结果为满意及以上的得1分，最高得5分，同一用户不重复计取。</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noWrap w:val="0"/>
            <w:vAlign w:val="center"/>
          </w:tcPr>
          <w:p>
            <w:pPr>
              <w:keepNext w:val="0"/>
              <w:keepLines w:val="0"/>
              <w:pageBreakBefore w:val="0"/>
              <w:kinsoku/>
              <w:wordWrap/>
              <w:overflowPunct/>
              <w:topLinePunct w:val="0"/>
              <w:autoSpaceDE/>
              <w:autoSpaceDN/>
              <w:bidi w:val="0"/>
              <w:adjustRightInd/>
              <w:snapToGrid/>
              <w:spacing w:line="320" w:lineRule="exact"/>
              <w:ind w:left="-13" w:leftChars="-6" w:right="42" w:rightChars="20" w:firstLine="12" w:firstLineChars="6"/>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320" w:lineRule="exact"/>
              <w:ind w:left="-13" w:leftChars="-6" w:right="42" w:rightChars="20" w:firstLine="12" w:firstLineChars="6"/>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保修、保养服务方案</w:t>
            </w:r>
          </w:p>
        </w:tc>
        <w:tc>
          <w:tcPr>
            <w:tcW w:w="6640"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提供的保修服务内容、保养服务方案；提供远程服务和远程监控方案，客户服务专线电话服务内容和方案；是否具有较强的专业技术队伍，能提供快速的售后服务响应等。</w:t>
            </w:r>
          </w:p>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根据各公司的响应情况综合</w:t>
            </w:r>
            <w:r>
              <w:rPr>
                <w:rFonts w:hint="eastAsia" w:ascii="仿宋" w:hAnsi="仿宋" w:eastAsia="仿宋" w:cs="仿宋"/>
                <w:color w:val="auto"/>
                <w:sz w:val="21"/>
                <w:szCs w:val="21"/>
                <w:highlight w:val="none"/>
                <w:lang w:eastAsia="zh-CN"/>
              </w:rPr>
              <w:t>评审</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0-10分</w:t>
            </w:r>
            <w:r>
              <w:rPr>
                <w:rFonts w:hint="eastAsia" w:ascii="仿宋" w:hAnsi="仿宋" w:eastAsia="仿宋" w:cs="仿宋"/>
                <w:color w:val="auto"/>
                <w:sz w:val="21"/>
                <w:szCs w:val="21"/>
                <w:highlight w:val="none"/>
              </w:rPr>
              <w:t>。</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20" w:lineRule="exact"/>
              <w:ind w:left="-13" w:leftChars="-6" w:right="42" w:rightChars="20" w:firstLine="12" w:firstLineChars="6"/>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投标人业绩</w:t>
            </w:r>
          </w:p>
        </w:tc>
        <w:tc>
          <w:tcPr>
            <w:tcW w:w="6640"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21</w:t>
            </w:r>
            <w:r>
              <w:rPr>
                <w:rFonts w:hint="eastAsia" w:ascii="仿宋" w:hAnsi="仿宋" w:eastAsia="仿宋" w:cs="仿宋"/>
                <w:color w:val="auto"/>
                <w:sz w:val="21"/>
                <w:szCs w:val="21"/>
                <w:highlight w:val="none"/>
              </w:rPr>
              <w:t>年1月至今案例合同。根据投标人所提供的同类产品案例合同，经评标小组认定为符合要求：每有一份得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2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440" w:type="dxa"/>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w:t>
            </w:r>
          </w:p>
        </w:tc>
        <w:tc>
          <w:tcPr>
            <w:tcW w:w="6640"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维修技术力量：技术支持工程师≥2人,每增加1人得1分，最多得1分；专职维修工程师≥2人,每增加1人得1分，最多得2分。上述人员须提供近三个月的社保缴纳证明资料加盖投标人公章。</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20" w:lineRule="exact"/>
              <w:ind w:left="-115" w:leftChars="-55" w:right="-115" w:rightChars="-55"/>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p>
        </w:tc>
        <w:tc>
          <w:tcPr>
            <w:tcW w:w="144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p>
        </w:tc>
        <w:tc>
          <w:tcPr>
            <w:tcW w:w="6640"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售后服务保修期限及内容（详细完整的“三包” ）、售后服务响应时间、措施和方案。根据服务响应、质保期限、维修成本、</w:t>
            </w:r>
            <w:r>
              <w:rPr>
                <w:rFonts w:hint="eastAsia" w:ascii="仿宋" w:hAnsi="仿宋" w:eastAsia="仿宋" w:cs="仿宋"/>
                <w:color w:val="auto"/>
                <w:sz w:val="21"/>
                <w:szCs w:val="21"/>
                <w:highlight w:val="none"/>
              </w:rPr>
              <w:t>质保过期后售后服务收费标准等</w:t>
            </w:r>
            <w:r>
              <w:rPr>
                <w:rFonts w:hint="eastAsia" w:ascii="仿宋" w:hAnsi="仿宋" w:eastAsia="仿宋" w:cs="仿宋"/>
                <w:color w:val="auto"/>
                <w:sz w:val="21"/>
                <w:szCs w:val="21"/>
                <w:highlight w:val="none"/>
                <w:lang w:eastAsia="zh-CN"/>
              </w:rPr>
              <w:t>方面进行评审，</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rPr>
              <w:t>。</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20" w:lineRule="exact"/>
              <w:ind w:left="-115" w:leftChars="-55" w:right="-115" w:rightChars="-55"/>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p>
        </w:tc>
        <w:tc>
          <w:tcPr>
            <w:tcW w:w="1440" w:type="dxa"/>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p>
        </w:tc>
        <w:tc>
          <w:tcPr>
            <w:tcW w:w="6640"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在</w:t>
            </w:r>
            <w:r>
              <w:rPr>
                <w:rFonts w:hint="eastAsia" w:ascii="仿宋" w:hAnsi="仿宋" w:eastAsia="仿宋" w:cs="仿宋"/>
                <w:color w:val="auto"/>
                <w:sz w:val="21"/>
                <w:szCs w:val="21"/>
                <w:highlight w:val="none"/>
                <w:lang w:eastAsia="zh-CN"/>
              </w:rPr>
              <w:t>本</w:t>
            </w:r>
            <w:r>
              <w:rPr>
                <w:rFonts w:hint="eastAsia" w:ascii="仿宋" w:hAnsi="仿宋" w:eastAsia="仿宋" w:cs="仿宋"/>
                <w:color w:val="auto"/>
                <w:sz w:val="21"/>
                <w:szCs w:val="21"/>
                <w:highlight w:val="none"/>
              </w:rPr>
              <w:t>地区有备货仓库（</w:t>
            </w:r>
            <w:r>
              <w:rPr>
                <w:rFonts w:hint="eastAsia" w:ascii="仿宋" w:hAnsi="仿宋" w:eastAsia="仿宋" w:cs="仿宋"/>
                <w:color w:val="auto"/>
                <w:sz w:val="21"/>
                <w:szCs w:val="21"/>
                <w:highlight w:val="none"/>
                <w:lang w:eastAsia="zh-CN"/>
              </w:rPr>
              <w:t>须</w:t>
            </w:r>
            <w:r>
              <w:rPr>
                <w:rFonts w:hint="eastAsia" w:ascii="仿宋" w:hAnsi="仿宋" w:eastAsia="仿宋" w:cs="仿宋"/>
                <w:color w:val="auto"/>
                <w:sz w:val="21"/>
                <w:szCs w:val="21"/>
                <w:highlight w:val="none"/>
              </w:rPr>
              <w:t>提供相关证明材料）</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rPr>
              <w:t>3分，</w:t>
            </w:r>
            <w:r>
              <w:rPr>
                <w:rFonts w:hint="eastAsia" w:ascii="仿宋" w:hAnsi="仿宋" w:eastAsia="仿宋" w:cs="仿宋"/>
                <w:color w:val="auto"/>
                <w:sz w:val="21"/>
                <w:szCs w:val="21"/>
                <w:highlight w:val="none"/>
                <w:lang w:eastAsia="zh-CN"/>
              </w:rPr>
              <w:t>投标人承诺在中标后设立备货仓库得</w:t>
            </w:r>
            <w:r>
              <w:rPr>
                <w:rFonts w:hint="eastAsia" w:ascii="仿宋" w:hAnsi="仿宋" w:eastAsia="仿宋" w:cs="仿宋"/>
                <w:color w:val="auto"/>
                <w:sz w:val="21"/>
                <w:szCs w:val="21"/>
                <w:highlight w:val="none"/>
                <w:lang w:val="en-US" w:eastAsia="zh-CN"/>
              </w:rPr>
              <w:t>1分，</w:t>
            </w:r>
            <w:r>
              <w:rPr>
                <w:rFonts w:hint="eastAsia" w:ascii="仿宋" w:hAnsi="仿宋" w:eastAsia="仿宋" w:cs="仿宋"/>
                <w:color w:val="auto"/>
                <w:sz w:val="21"/>
                <w:szCs w:val="21"/>
                <w:highlight w:val="none"/>
                <w:lang w:eastAsia="zh-CN"/>
              </w:rPr>
              <w:t>没有或未提供相关证明材料不得</w:t>
            </w:r>
            <w:r>
              <w:rPr>
                <w:rFonts w:hint="eastAsia" w:ascii="仿宋" w:hAnsi="仿宋" w:eastAsia="仿宋" w:cs="仿宋"/>
                <w:color w:val="auto"/>
                <w:sz w:val="21"/>
                <w:szCs w:val="21"/>
                <w:highlight w:val="none"/>
              </w:rPr>
              <w:t>分。</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20" w:lineRule="exact"/>
              <w:ind w:left="-115" w:leftChars="-55" w:right="-115" w:rightChars="-55"/>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9"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44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其他优惠承诺</w:t>
            </w:r>
          </w:p>
        </w:tc>
        <w:tc>
          <w:tcPr>
            <w:tcW w:w="6640"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根据自身的能力，提供各种服务</w:t>
            </w:r>
            <w:r>
              <w:rPr>
                <w:rFonts w:hint="eastAsia" w:ascii="仿宋" w:hAnsi="仿宋" w:eastAsia="仿宋" w:cs="仿宋"/>
                <w:color w:val="auto"/>
                <w:sz w:val="21"/>
                <w:szCs w:val="21"/>
                <w:highlight w:val="none"/>
                <w:lang w:eastAsia="zh-CN"/>
              </w:rPr>
              <w:t>承诺，</w:t>
            </w:r>
            <w:r>
              <w:rPr>
                <w:rFonts w:hint="eastAsia" w:ascii="仿宋" w:hAnsi="仿宋" w:eastAsia="仿宋" w:cs="仿宋"/>
                <w:color w:val="auto"/>
                <w:sz w:val="21"/>
                <w:szCs w:val="21"/>
                <w:highlight w:val="none"/>
                <w:lang w:val="en-US" w:eastAsia="zh-CN"/>
              </w:rPr>
              <w:t>0-3分</w:t>
            </w:r>
            <w:r>
              <w:rPr>
                <w:rFonts w:hint="eastAsia" w:ascii="仿宋" w:hAnsi="仿宋" w:eastAsia="仿宋" w:cs="仿宋"/>
                <w:color w:val="auto"/>
                <w:sz w:val="21"/>
                <w:szCs w:val="21"/>
                <w:highlight w:val="none"/>
              </w:rPr>
              <w:t>。</w:t>
            </w:r>
          </w:p>
        </w:tc>
        <w:tc>
          <w:tcPr>
            <w:tcW w:w="702" w:type="dxa"/>
            <w:noWrap w:val="0"/>
            <w:vAlign w:val="center"/>
          </w:tcPr>
          <w:p>
            <w:pPr>
              <w:keepNext w:val="0"/>
              <w:keepLines w:val="0"/>
              <w:pageBreakBefore w:val="0"/>
              <w:kinsoku/>
              <w:wordWrap/>
              <w:overflowPunct/>
              <w:topLinePunct w:val="0"/>
              <w:autoSpaceDE/>
              <w:autoSpaceDN/>
              <w:bidi w:val="0"/>
              <w:adjustRightInd/>
              <w:snapToGrid/>
              <w:spacing w:line="320" w:lineRule="exact"/>
              <w:ind w:left="-115" w:leftChars="-55" w:right="-115" w:rightChars="-55"/>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24"/>
          <w:highlight w:val="none"/>
          <w:u w:val="single"/>
        </w:rPr>
      </w:pPr>
      <w:r>
        <w:rPr>
          <w:rFonts w:hint="eastAsia" w:ascii="仿宋" w:hAnsi="仿宋" w:eastAsia="仿宋" w:cs="仿宋"/>
          <w:bCs/>
          <w:iCs/>
          <w:color w:val="auto"/>
          <w:sz w:val="24"/>
          <w:highlight w:val="none"/>
        </w:rPr>
        <w:t>即：</w:t>
      </w:r>
      <w:r>
        <w:rPr>
          <w:rFonts w:hint="eastAsia" w:ascii="仿宋" w:hAnsi="仿宋" w:eastAsia="仿宋" w:cs="仿宋"/>
          <w:bCs/>
          <w:iCs/>
          <w:color w:val="auto"/>
          <w:sz w:val="24"/>
          <w:highlight w:val="none"/>
          <w:lang w:val="en-US" w:eastAsia="zh-CN"/>
        </w:rPr>
        <w:t xml:space="preserve">01标 </w:t>
      </w: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0</w:t>
      </w:r>
    </w:p>
    <w:bookmarkEnd w:id="8"/>
    <w:bookmarkEnd w:id="9"/>
    <w:bookmarkEnd w:id="10"/>
    <w:bookmarkEnd w:id="11"/>
    <w:p>
      <w:pPr>
        <w:snapToGrid w:val="0"/>
        <w:spacing w:line="360" w:lineRule="auto"/>
        <w:ind w:firstLine="480" w:firstLineChars="200"/>
        <w:jc w:val="both"/>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lang w:val="en-US" w:eastAsia="zh-CN"/>
        </w:rPr>
        <w:t xml:space="preserve">02标 </w:t>
      </w: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8"/>
        <w:spacing w:line="800" w:lineRule="atLeast"/>
        <w:ind w:left="0" w:leftChars="0"/>
        <w:rPr>
          <w:rFonts w:hint="eastAsia" w:ascii="仿宋" w:hAnsi="仿宋" w:eastAsia="仿宋" w:cs="仿宋"/>
          <w:b/>
          <w:color w:val="auto"/>
          <w:sz w:val="36"/>
          <w:szCs w:val="36"/>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pStyle w:val="18"/>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0"/>
        <w:spacing w:afterLines="0" w:line="440" w:lineRule="exact"/>
        <w:ind w:firstLine="0" w:firstLineChars="0"/>
        <w:rPr>
          <w:rFonts w:hint="eastAsia" w:ascii="仿宋" w:hAnsi="仿宋" w:eastAsia="仿宋" w:cs="仿宋"/>
          <w:color w:val="auto"/>
          <w:szCs w:val="24"/>
          <w:highlight w:val="none"/>
        </w:rPr>
      </w:pPr>
    </w:p>
    <w:p>
      <w:pPr>
        <w:pStyle w:val="70"/>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0"/>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0"/>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0"/>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w:t>
      </w:r>
      <w:r>
        <w:rPr>
          <w:rFonts w:hint="eastAsia" w:ascii="仿宋" w:hAnsi="仿宋" w:eastAsia="仿宋" w:cs="仿宋"/>
          <w:b/>
          <w:color w:val="auto"/>
          <w:sz w:val="30"/>
          <w:szCs w:val="30"/>
          <w:highlight w:val="none"/>
          <w:lang w:val="en-US" w:eastAsia="zh-CN"/>
        </w:rPr>
        <w:t>01标</w:t>
      </w:r>
      <w:r>
        <w:rPr>
          <w:rFonts w:hint="eastAsia" w:ascii="仿宋" w:hAnsi="仿宋" w:eastAsia="仿宋" w:cs="仿宋"/>
          <w:b/>
          <w:color w:val="auto"/>
          <w:sz w:val="30"/>
          <w:szCs w:val="30"/>
          <w:highlight w:val="none"/>
        </w:rPr>
        <w:t>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2"/>
        <w:tblW w:w="9801"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56"/>
        <w:gridCol w:w="1900"/>
        <w:gridCol w:w="1365"/>
        <w:gridCol w:w="126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356"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90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投标单价（元）/年</w:t>
            </w:r>
          </w:p>
        </w:tc>
        <w:tc>
          <w:tcPr>
            <w:tcW w:w="1365"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tc>
        <w:tc>
          <w:tcPr>
            <w:tcW w:w="126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服务年限</w:t>
            </w:r>
          </w:p>
        </w:tc>
        <w:tc>
          <w:tcPr>
            <w:tcW w:w="117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5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356" w:type="dxa"/>
            <w:noWrap/>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胃肠镜镜子</w:t>
            </w:r>
          </w:p>
        </w:tc>
        <w:tc>
          <w:tcPr>
            <w:tcW w:w="1900" w:type="dxa"/>
            <w:noWrap/>
            <w:vAlign w:val="center"/>
          </w:tcPr>
          <w:p>
            <w:pPr>
              <w:spacing w:line="400" w:lineRule="exact"/>
              <w:jc w:val="center"/>
              <w:rPr>
                <w:rFonts w:hint="eastAsia" w:ascii="仿宋" w:hAnsi="仿宋" w:eastAsia="仿宋" w:cs="仿宋"/>
                <w:color w:val="auto"/>
                <w:sz w:val="24"/>
                <w:highlight w:val="none"/>
              </w:rPr>
            </w:pPr>
          </w:p>
        </w:tc>
        <w:tc>
          <w:tcPr>
            <w:tcW w:w="1365" w:type="dxa"/>
            <w:noWrap/>
            <w:vAlign w:val="center"/>
          </w:tcPr>
          <w:p>
            <w:pPr>
              <w:spacing w:line="400" w:lineRule="exact"/>
              <w:jc w:val="center"/>
              <w:rPr>
                <w:rFonts w:hint="eastAsia" w:ascii="仿宋" w:hAnsi="仿宋" w:eastAsia="仿宋" w:cs="仿宋"/>
                <w:color w:val="auto"/>
                <w:sz w:val="24"/>
                <w:highlight w:val="none"/>
              </w:rPr>
            </w:pPr>
          </w:p>
        </w:tc>
        <w:tc>
          <w:tcPr>
            <w:tcW w:w="126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年</w:t>
            </w:r>
          </w:p>
        </w:tc>
        <w:tc>
          <w:tcPr>
            <w:tcW w:w="1170" w:type="dxa"/>
            <w:noWrap/>
            <w:vAlign w:val="center"/>
          </w:tcPr>
          <w:p>
            <w:pPr>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06" w:type="dxa"/>
            <w:gridSpan w:val="2"/>
            <w:vMerge w:val="restart"/>
            <w:noWrap/>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投标总价=投标单价*</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年（上限价：</w:t>
            </w: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万）</w:t>
            </w:r>
          </w:p>
        </w:tc>
        <w:tc>
          <w:tcPr>
            <w:tcW w:w="5695" w:type="dxa"/>
            <w:gridSpan w:val="4"/>
            <w:noWrap/>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06" w:type="dxa"/>
            <w:gridSpan w:val="2"/>
            <w:vMerge w:val="continue"/>
            <w:noWrap/>
            <w:vAlign w:val="center"/>
          </w:tcPr>
          <w:p>
            <w:pPr>
              <w:spacing w:line="400" w:lineRule="exact"/>
              <w:rPr>
                <w:rFonts w:hint="eastAsia" w:ascii="仿宋" w:hAnsi="仿宋" w:eastAsia="仿宋" w:cs="仿宋"/>
                <w:color w:val="auto"/>
                <w:sz w:val="24"/>
                <w:highlight w:val="none"/>
              </w:rPr>
            </w:pPr>
          </w:p>
        </w:tc>
        <w:tc>
          <w:tcPr>
            <w:tcW w:w="5695" w:type="dxa"/>
            <w:gridSpan w:val="4"/>
            <w:noWrap/>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Style w:val="51"/>
        <w:rPr>
          <w:rFonts w:hint="eastAsia" w:ascii="仿宋" w:hAnsi="仿宋" w:eastAsia="仿宋" w:cs="仿宋"/>
          <w:color w:val="auto"/>
          <w:sz w:val="24"/>
          <w:highlight w:val="none"/>
        </w:rPr>
      </w:pPr>
    </w:p>
    <w:p>
      <w:pPr>
        <w:pStyle w:val="51"/>
        <w:rPr>
          <w:rFonts w:hint="eastAsia" w:ascii="仿宋" w:hAnsi="仿宋" w:eastAsia="仿宋" w:cs="仿宋"/>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02标</w:t>
      </w:r>
      <w:r>
        <w:rPr>
          <w:rFonts w:hint="eastAsia" w:ascii="仿宋" w:hAnsi="仿宋" w:eastAsia="仿宋" w:cs="仿宋"/>
          <w:b/>
          <w:color w:val="auto"/>
          <w:sz w:val="30"/>
          <w:szCs w:val="30"/>
          <w:highlight w:val="none"/>
        </w:rPr>
        <w:t>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2"/>
        <w:tblW w:w="9801"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56"/>
        <w:gridCol w:w="1900"/>
        <w:gridCol w:w="1365"/>
        <w:gridCol w:w="126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356"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90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投标单价（元）/年</w:t>
            </w:r>
          </w:p>
        </w:tc>
        <w:tc>
          <w:tcPr>
            <w:tcW w:w="1365"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tc>
        <w:tc>
          <w:tcPr>
            <w:tcW w:w="126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服务年限</w:t>
            </w:r>
          </w:p>
        </w:tc>
        <w:tc>
          <w:tcPr>
            <w:tcW w:w="117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5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356" w:type="dxa"/>
            <w:noWrap/>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全自动摆药机</w:t>
            </w:r>
          </w:p>
        </w:tc>
        <w:tc>
          <w:tcPr>
            <w:tcW w:w="1900" w:type="dxa"/>
            <w:noWrap/>
            <w:vAlign w:val="center"/>
          </w:tcPr>
          <w:p>
            <w:pPr>
              <w:spacing w:line="400" w:lineRule="exact"/>
              <w:jc w:val="center"/>
              <w:rPr>
                <w:rFonts w:hint="eastAsia" w:ascii="仿宋" w:hAnsi="仿宋" w:eastAsia="仿宋" w:cs="仿宋"/>
                <w:color w:val="auto"/>
                <w:sz w:val="24"/>
                <w:highlight w:val="none"/>
              </w:rPr>
            </w:pPr>
          </w:p>
        </w:tc>
        <w:tc>
          <w:tcPr>
            <w:tcW w:w="1365" w:type="dxa"/>
            <w:noWrap/>
            <w:vAlign w:val="center"/>
          </w:tcPr>
          <w:p>
            <w:pPr>
              <w:spacing w:line="400" w:lineRule="exact"/>
              <w:jc w:val="center"/>
              <w:rPr>
                <w:rFonts w:hint="eastAsia" w:ascii="仿宋" w:hAnsi="仿宋" w:eastAsia="仿宋" w:cs="仿宋"/>
                <w:color w:val="auto"/>
                <w:sz w:val="24"/>
                <w:highlight w:val="none"/>
              </w:rPr>
            </w:pPr>
          </w:p>
        </w:tc>
        <w:tc>
          <w:tcPr>
            <w:tcW w:w="1260" w:type="dxa"/>
            <w:noWrap/>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年</w:t>
            </w:r>
          </w:p>
        </w:tc>
        <w:tc>
          <w:tcPr>
            <w:tcW w:w="1170" w:type="dxa"/>
            <w:noWrap/>
            <w:vAlign w:val="center"/>
          </w:tcPr>
          <w:p>
            <w:pPr>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06" w:type="dxa"/>
            <w:gridSpan w:val="2"/>
            <w:vMerge w:val="restart"/>
            <w:noWrap/>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投标总价=投标单价*</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年（上限价：</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万）</w:t>
            </w:r>
          </w:p>
        </w:tc>
        <w:tc>
          <w:tcPr>
            <w:tcW w:w="5695" w:type="dxa"/>
            <w:gridSpan w:val="4"/>
            <w:noWrap/>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06" w:type="dxa"/>
            <w:gridSpan w:val="2"/>
            <w:vMerge w:val="continue"/>
            <w:noWrap/>
            <w:vAlign w:val="center"/>
          </w:tcPr>
          <w:p>
            <w:pPr>
              <w:spacing w:line="400" w:lineRule="exact"/>
              <w:rPr>
                <w:rFonts w:hint="eastAsia" w:ascii="仿宋" w:hAnsi="仿宋" w:eastAsia="仿宋" w:cs="仿宋"/>
                <w:color w:val="auto"/>
                <w:sz w:val="24"/>
                <w:highlight w:val="none"/>
              </w:rPr>
            </w:pPr>
          </w:p>
        </w:tc>
        <w:tc>
          <w:tcPr>
            <w:tcW w:w="5695" w:type="dxa"/>
            <w:gridSpan w:val="4"/>
            <w:noWrap/>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Style w:val="51"/>
        <w:rPr>
          <w:rFonts w:hint="eastAsia" w:ascii="仿宋" w:hAnsi="仿宋" w:eastAsia="仿宋" w:cs="仿宋"/>
          <w:color w:val="auto"/>
          <w:sz w:val="24"/>
          <w:highlight w:val="none"/>
        </w:rPr>
      </w:pPr>
    </w:p>
    <w:p>
      <w:pPr>
        <w:pStyle w:val="51"/>
        <w:rPr>
          <w:rFonts w:hint="eastAsia" w:ascii="仿宋" w:hAnsi="仿宋" w:eastAsia="仿宋" w:cs="仿宋"/>
          <w:color w:val="auto"/>
          <w:sz w:val="24"/>
          <w:highlight w:val="none"/>
        </w:rPr>
      </w:pPr>
    </w:p>
    <w:p>
      <w:pPr>
        <w:pStyle w:val="51"/>
        <w:rPr>
          <w:rFonts w:hint="eastAsia" w:ascii="仿宋" w:hAnsi="仿宋" w:eastAsia="仿宋" w:cs="仿宋"/>
          <w:color w:val="auto"/>
          <w:sz w:val="24"/>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4"/>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u w:val="single"/>
          <w:lang w:val="en-US" w:eastAsia="zh-CN"/>
        </w:rPr>
        <w:t xml:space="preserve">              （项目名称）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TYJZ2024011</w:t>
      </w:r>
      <w:r>
        <w:rPr>
          <w:rFonts w:hint="eastAsia" w:ascii="仿宋" w:hAnsi="仿宋" w:eastAsia="仿宋" w:cs="仿宋"/>
          <w:color w:val="auto"/>
          <w:sz w:val="24"/>
          <w:highlight w:val="none"/>
        </w:rPr>
        <w:t>）招标文件中关于申请人资格要求的下列条件：</w:t>
      </w:r>
    </w:p>
    <w:p>
      <w:pPr>
        <w:pStyle w:val="70"/>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5"/>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1.95pt;width:442.6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1.95pt;width:441.4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52"/>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1.95pt;width:390.05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3.企业划分指标以现行统计制度为准。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（1）从业人员，是指期末从业人员数，没有期末从业人员数的，采用全年平均人员数代替。</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中国证券监督管理委员会中国保险监督管理委员会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适用范围。本规定适用于从事《国民经济行业分类》(GB/T4754-2011)中J门类（金融业）活动的企业。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十、本规定由人民银行会同银监会，证监会、保监会和统计局负责解释。</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bookmarkEnd w:id="169"/>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Wingdings 2">
    <w:panose1 w:val="05020102010507070707"/>
    <w:charset w:val="00"/>
    <w:family w:val="auto"/>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 w:name="华文细黑">
    <w:panose1 w:val="02010600040101010101"/>
    <w:charset w:val="86"/>
    <w:family w:val="auto"/>
    <w:pitch w:val="default"/>
    <w:sig w:usb0="00000287" w:usb1="080F0000" w:usb2="00000000" w:usb3="00000000" w:csb0="0004009F" w:csb1="DFD7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F36795"/>
    <w:multiLevelType w:val="singleLevel"/>
    <w:tmpl w:val="D8F36795"/>
    <w:lvl w:ilvl="0" w:tentative="0">
      <w:start w:val="1"/>
      <w:numFmt w:val="chineseCounting"/>
      <w:suff w:val="nothing"/>
      <w:lvlText w:val="%1、"/>
      <w:lvlJc w:val="left"/>
      <w:pPr>
        <w:ind w:left="600" w:leftChars="0" w:firstLine="0" w:firstLineChars="0"/>
      </w:pPr>
      <w:rPr>
        <w:rFonts w:hint="eastAsia"/>
      </w:r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7A020E2"/>
    <w:multiLevelType w:val="singleLevel"/>
    <w:tmpl w:val="17A020E2"/>
    <w:lvl w:ilvl="0" w:tentative="0">
      <w:start w:val="1"/>
      <w:numFmt w:val="decimal"/>
      <w:suff w:val="nothing"/>
      <w:lvlText w:val="%1、"/>
      <w:lvlJc w:val="left"/>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5E7DFD9"/>
    <w:multiLevelType w:val="singleLevel"/>
    <w:tmpl w:val="75E7DFD9"/>
    <w:lvl w:ilvl="0" w:tentative="0">
      <w:start w:val="1"/>
      <w:numFmt w:val="decimal"/>
      <w:suff w:val="nothing"/>
      <w:lvlText w:val="%1、"/>
      <w:lvlJc w:val="left"/>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07ED6"/>
    <w:rsid w:val="00010C9A"/>
    <w:rsid w:val="00010FC1"/>
    <w:rsid w:val="0001278F"/>
    <w:rsid w:val="0002045E"/>
    <w:rsid w:val="00021D87"/>
    <w:rsid w:val="0002203D"/>
    <w:rsid w:val="0002468D"/>
    <w:rsid w:val="00025A9F"/>
    <w:rsid w:val="00026323"/>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58FB"/>
    <w:rsid w:val="000B625B"/>
    <w:rsid w:val="000C14CF"/>
    <w:rsid w:val="000C1F3C"/>
    <w:rsid w:val="000C20C0"/>
    <w:rsid w:val="000C3344"/>
    <w:rsid w:val="000D0E6C"/>
    <w:rsid w:val="000D110F"/>
    <w:rsid w:val="000D122E"/>
    <w:rsid w:val="000D1267"/>
    <w:rsid w:val="000D1D59"/>
    <w:rsid w:val="000D4D0E"/>
    <w:rsid w:val="000D716C"/>
    <w:rsid w:val="000E1C88"/>
    <w:rsid w:val="000E1F99"/>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78A8"/>
    <w:rsid w:val="00154591"/>
    <w:rsid w:val="00154E3A"/>
    <w:rsid w:val="00156633"/>
    <w:rsid w:val="00157269"/>
    <w:rsid w:val="001576C4"/>
    <w:rsid w:val="0015771E"/>
    <w:rsid w:val="00157914"/>
    <w:rsid w:val="00157FB7"/>
    <w:rsid w:val="00160B0A"/>
    <w:rsid w:val="00161F66"/>
    <w:rsid w:val="00162DD9"/>
    <w:rsid w:val="001637A2"/>
    <w:rsid w:val="00163B9C"/>
    <w:rsid w:val="00165068"/>
    <w:rsid w:val="001657B2"/>
    <w:rsid w:val="00171701"/>
    <w:rsid w:val="00171B28"/>
    <w:rsid w:val="0017334B"/>
    <w:rsid w:val="001739CF"/>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D"/>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1420"/>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37092"/>
    <w:rsid w:val="00240411"/>
    <w:rsid w:val="00243D9A"/>
    <w:rsid w:val="002442F3"/>
    <w:rsid w:val="00244766"/>
    <w:rsid w:val="00247AB8"/>
    <w:rsid w:val="00247FFD"/>
    <w:rsid w:val="00251888"/>
    <w:rsid w:val="00255C10"/>
    <w:rsid w:val="0025660E"/>
    <w:rsid w:val="00256A92"/>
    <w:rsid w:val="0025749B"/>
    <w:rsid w:val="002608A0"/>
    <w:rsid w:val="00260A0D"/>
    <w:rsid w:val="00262E82"/>
    <w:rsid w:val="00264B31"/>
    <w:rsid w:val="00264FFB"/>
    <w:rsid w:val="00266447"/>
    <w:rsid w:val="00267D7C"/>
    <w:rsid w:val="00270E20"/>
    <w:rsid w:val="00271324"/>
    <w:rsid w:val="00274AE8"/>
    <w:rsid w:val="00274B01"/>
    <w:rsid w:val="00275F7B"/>
    <w:rsid w:val="00283EAF"/>
    <w:rsid w:val="002857D3"/>
    <w:rsid w:val="002860D2"/>
    <w:rsid w:val="00286495"/>
    <w:rsid w:val="0028775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5B7"/>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6A0C"/>
    <w:rsid w:val="003670EB"/>
    <w:rsid w:val="00367BF2"/>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1089"/>
    <w:rsid w:val="003E2D56"/>
    <w:rsid w:val="003E4007"/>
    <w:rsid w:val="003E4259"/>
    <w:rsid w:val="003E5724"/>
    <w:rsid w:val="003E6C02"/>
    <w:rsid w:val="003F02CF"/>
    <w:rsid w:val="003F2982"/>
    <w:rsid w:val="003F4084"/>
    <w:rsid w:val="003F475C"/>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149D"/>
    <w:rsid w:val="004350B7"/>
    <w:rsid w:val="004357E0"/>
    <w:rsid w:val="0043766D"/>
    <w:rsid w:val="00440C87"/>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549"/>
    <w:rsid w:val="004832BC"/>
    <w:rsid w:val="00485E04"/>
    <w:rsid w:val="00486B01"/>
    <w:rsid w:val="00487465"/>
    <w:rsid w:val="004939A7"/>
    <w:rsid w:val="00495C9D"/>
    <w:rsid w:val="00495CE3"/>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00B6"/>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5CE8"/>
    <w:rsid w:val="0058680D"/>
    <w:rsid w:val="00586C3A"/>
    <w:rsid w:val="005879E7"/>
    <w:rsid w:val="00590A70"/>
    <w:rsid w:val="00591190"/>
    <w:rsid w:val="00591584"/>
    <w:rsid w:val="00592C38"/>
    <w:rsid w:val="00594CDD"/>
    <w:rsid w:val="00595AB2"/>
    <w:rsid w:val="005A3003"/>
    <w:rsid w:val="005A32FB"/>
    <w:rsid w:val="005A3E6E"/>
    <w:rsid w:val="005A4501"/>
    <w:rsid w:val="005A57A7"/>
    <w:rsid w:val="005A7A4A"/>
    <w:rsid w:val="005B180C"/>
    <w:rsid w:val="005B5530"/>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2AE0"/>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049F"/>
    <w:rsid w:val="00622201"/>
    <w:rsid w:val="006225C8"/>
    <w:rsid w:val="006225CB"/>
    <w:rsid w:val="00624516"/>
    <w:rsid w:val="006257E9"/>
    <w:rsid w:val="00625BC2"/>
    <w:rsid w:val="0062625D"/>
    <w:rsid w:val="006264DB"/>
    <w:rsid w:val="00630ADC"/>
    <w:rsid w:val="00630CF7"/>
    <w:rsid w:val="006351A3"/>
    <w:rsid w:val="0063736A"/>
    <w:rsid w:val="00637770"/>
    <w:rsid w:val="006378C9"/>
    <w:rsid w:val="00642276"/>
    <w:rsid w:val="00643AA9"/>
    <w:rsid w:val="00643BDC"/>
    <w:rsid w:val="0064613F"/>
    <w:rsid w:val="006465FE"/>
    <w:rsid w:val="006467D7"/>
    <w:rsid w:val="00646E44"/>
    <w:rsid w:val="00651F43"/>
    <w:rsid w:val="006527F3"/>
    <w:rsid w:val="006541FB"/>
    <w:rsid w:val="00660E6B"/>
    <w:rsid w:val="00665466"/>
    <w:rsid w:val="00665C19"/>
    <w:rsid w:val="00665CBD"/>
    <w:rsid w:val="00671A32"/>
    <w:rsid w:val="0067222A"/>
    <w:rsid w:val="00672AC8"/>
    <w:rsid w:val="00675C4B"/>
    <w:rsid w:val="0067762D"/>
    <w:rsid w:val="00680B4E"/>
    <w:rsid w:val="006810E4"/>
    <w:rsid w:val="006839B6"/>
    <w:rsid w:val="006843E1"/>
    <w:rsid w:val="0068671B"/>
    <w:rsid w:val="00686F48"/>
    <w:rsid w:val="006872D9"/>
    <w:rsid w:val="00687DA3"/>
    <w:rsid w:val="00690BB5"/>
    <w:rsid w:val="0069160B"/>
    <w:rsid w:val="00692C16"/>
    <w:rsid w:val="006936A5"/>
    <w:rsid w:val="006948E4"/>
    <w:rsid w:val="00694B34"/>
    <w:rsid w:val="00694B87"/>
    <w:rsid w:val="00694D00"/>
    <w:rsid w:val="006A1906"/>
    <w:rsid w:val="006A3D9E"/>
    <w:rsid w:val="006A4364"/>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6923"/>
    <w:rsid w:val="00707395"/>
    <w:rsid w:val="007122EB"/>
    <w:rsid w:val="00715B09"/>
    <w:rsid w:val="0072144E"/>
    <w:rsid w:val="00721688"/>
    <w:rsid w:val="00721BF4"/>
    <w:rsid w:val="007266EE"/>
    <w:rsid w:val="00727382"/>
    <w:rsid w:val="0072764B"/>
    <w:rsid w:val="00727936"/>
    <w:rsid w:val="00727E2C"/>
    <w:rsid w:val="00727F6F"/>
    <w:rsid w:val="007327FF"/>
    <w:rsid w:val="007402C2"/>
    <w:rsid w:val="007402D5"/>
    <w:rsid w:val="00740820"/>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1DE"/>
    <w:rsid w:val="007A06F3"/>
    <w:rsid w:val="007A0F0F"/>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4B55"/>
    <w:rsid w:val="007E6C18"/>
    <w:rsid w:val="007E765C"/>
    <w:rsid w:val="007F0029"/>
    <w:rsid w:val="007F0976"/>
    <w:rsid w:val="007F168D"/>
    <w:rsid w:val="007F1749"/>
    <w:rsid w:val="007F3580"/>
    <w:rsid w:val="007F5965"/>
    <w:rsid w:val="007F5CEC"/>
    <w:rsid w:val="007F6983"/>
    <w:rsid w:val="007F720A"/>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2F70"/>
    <w:rsid w:val="008432A5"/>
    <w:rsid w:val="00844F41"/>
    <w:rsid w:val="008457C1"/>
    <w:rsid w:val="0084613D"/>
    <w:rsid w:val="00850E6B"/>
    <w:rsid w:val="00852E88"/>
    <w:rsid w:val="0085512C"/>
    <w:rsid w:val="008557E8"/>
    <w:rsid w:val="00862C3D"/>
    <w:rsid w:val="00863478"/>
    <w:rsid w:val="00863945"/>
    <w:rsid w:val="00864E3D"/>
    <w:rsid w:val="00875064"/>
    <w:rsid w:val="0087661B"/>
    <w:rsid w:val="00877F0F"/>
    <w:rsid w:val="008800C8"/>
    <w:rsid w:val="0088347A"/>
    <w:rsid w:val="00885797"/>
    <w:rsid w:val="00886234"/>
    <w:rsid w:val="008863D4"/>
    <w:rsid w:val="00886634"/>
    <w:rsid w:val="00887B85"/>
    <w:rsid w:val="00890B37"/>
    <w:rsid w:val="00890DCD"/>
    <w:rsid w:val="00895B37"/>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672"/>
    <w:rsid w:val="00940FA0"/>
    <w:rsid w:val="009415ED"/>
    <w:rsid w:val="00944F1A"/>
    <w:rsid w:val="00947BAD"/>
    <w:rsid w:val="00947FE6"/>
    <w:rsid w:val="00952269"/>
    <w:rsid w:val="00952CE1"/>
    <w:rsid w:val="00953507"/>
    <w:rsid w:val="009557D2"/>
    <w:rsid w:val="009568DF"/>
    <w:rsid w:val="009626CD"/>
    <w:rsid w:val="009639DC"/>
    <w:rsid w:val="00963B11"/>
    <w:rsid w:val="00963B57"/>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4D52"/>
    <w:rsid w:val="009A5E9D"/>
    <w:rsid w:val="009A5F02"/>
    <w:rsid w:val="009A728E"/>
    <w:rsid w:val="009A74ED"/>
    <w:rsid w:val="009B022A"/>
    <w:rsid w:val="009B0779"/>
    <w:rsid w:val="009B1146"/>
    <w:rsid w:val="009B206E"/>
    <w:rsid w:val="009B24E0"/>
    <w:rsid w:val="009B3142"/>
    <w:rsid w:val="009B55F5"/>
    <w:rsid w:val="009B7B41"/>
    <w:rsid w:val="009C17E3"/>
    <w:rsid w:val="009C1E3D"/>
    <w:rsid w:val="009C221E"/>
    <w:rsid w:val="009C3B05"/>
    <w:rsid w:val="009C473A"/>
    <w:rsid w:val="009C4D5D"/>
    <w:rsid w:val="009C4F71"/>
    <w:rsid w:val="009C6549"/>
    <w:rsid w:val="009C725B"/>
    <w:rsid w:val="009C76D3"/>
    <w:rsid w:val="009C77E0"/>
    <w:rsid w:val="009C7CAC"/>
    <w:rsid w:val="009D13D6"/>
    <w:rsid w:val="009D1860"/>
    <w:rsid w:val="009D2177"/>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4E4F"/>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B66C6"/>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6DF8"/>
    <w:rsid w:val="00C17776"/>
    <w:rsid w:val="00C1781A"/>
    <w:rsid w:val="00C2059D"/>
    <w:rsid w:val="00C20DC8"/>
    <w:rsid w:val="00C23661"/>
    <w:rsid w:val="00C2561D"/>
    <w:rsid w:val="00C300F2"/>
    <w:rsid w:val="00C316A8"/>
    <w:rsid w:val="00C3170E"/>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74EB4"/>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03FE"/>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6718"/>
    <w:rsid w:val="00D625F8"/>
    <w:rsid w:val="00D626F2"/>
    <w:rsid w:val="00D63D29"/>
    <w:rsid w:val="00D649AA"/>
    <w:rsid w:val="00D659D3"/>
    <w:rsid w:val="00D70675"/>
    <w:rsid w:val="00D73693"/>
    <w:rsid w:val="00D74A49"/>
    <w:rsid w:val="00D74BEC"/>
    <w:rsid w:val="00D75A07"/>
    <w:rsid w:val="00D80A4D"/>
    <w:rsid w:val="00D83294"/>
    <w:rsid w:val="00D832F2"/>
    <w:rsid w:val="00D83A4D"/>
    <w:rsid w:val="00D840D8"/>
    <w:rsid w:val="00D85827"/>
    <w:rsid w:val="00D90F07"/>
    <w:rsid w:val="00D92EA4"/>
    <w:rsid w:val="00D93A13"/>
    <w:rsid w:val="00D949A2"/>
    <w:rsid w:val="00D94B21"/>
    <w:rsid w:val="00DA0B33"/>
    <w:rsid w:val="00DA1B47"/>
    <w:rsid w:val="00DA2036"/>
    <w:rsid w:val="00DA3FC7"/>
    <w:rsid w:val="00DA4666"/>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0665"/>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3C16"/>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8610C"/>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ED6"/>
    <w:rsid w:val="00EE4212"/>
    <w:rsid w:val="00EE54FE"/>
    <w:rsid w:val="00EE55D8"/>
    <w:rsid w:val="00EE5E15"/>
    <w:rsid w:val="00EF03A2"/>
    <w:rsid w:val="00EF1A94"/>
    <w:rsid w:val="00EF20FA"/>
    <w:rsid w:val="00EF52D6"/>
    <w:rsid w:val="00EF7E5B"/>
    <w:rsid w:val="00F00B43"/>
    <w:rsid w:val="00F0162F"/>
    <w:rsid w:val="00F01C96"/>
    <w:rsid w:val="00F0661F"/>
    <w:rsid w:val="00F07817"/>
    <w:rsid w:val="00F12CBB"/>
    <w:rsid w:val="00F1355C"/>
    <w:rsid w:val="00F16306"/>
    <w:rsid w:val="00F226E8"/>
    <w:rsid w:val="00F2566F"/>
    <w:rsid w:val="00F30E51"/>
    <w:rsid w:val="00F31980"/>
    <w:rsid w:val="00F31AD0"/>
    <w:rsid w:val="00F32B3C"/>
    <w:rsid w:val="00F33527"/>
    <w:rsid w:val="00F3506F"/>
    <w:rsid w:val="00F35DF7"/>
    <w:rsid w:val="00F37F36"/>
    <w:rsid w:val="00F40025"/>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F48"/>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177E"/>
    <w:rsid w:val="00FC33BC"/>
    <w:rsid w:val="00FC5B79"/>
    <w:rsid w:val="00FC6821"/>
    <w:rsid w:val="00FC7905"/>
    <w:rsid w:val="00FD0273"/>
    <w:rsid w:val="00FE5E89"/>
    <w:rsid w:val="00FE7260"/>
    <w:rsid w:val="00FF0866"/>
    <w:rsid w:val="00FF0CA9"/>
    <w:rsid w:val="00FF2D7D"/>
    <w:rsid w:val="00FF6B49"/>
    <w:rsid w:val="00FF724C"/>
    <w:rsid w:val="00FF7BD2"/>
    <w:rsid w:val="0106789B"/>
    <w:rsid w:val="0259053C"/>
    <w:rsid w:val="02F555E7"/>
    <w:rsid w:val="033D06CB"/>
    <w:rsid w:val="03876FFC"/>
    <w:rsid w:val="038D0615"/>
    <w:rsid w:val="039D1B10"/>
    <w:rsid w:val="03F50D9B"/>
    <w:rsid w:val="0563079F"/>
    <w:rsid w:val="05F60437"/>
    <w:rsid w:val="08616BDF"/>
    <w:rsid w:val="08C3270D"/>
    <w:rsid w:val="098B21E0"/>
    <w:rsid w:val="09AE462C"/>
    <w:rsid w:val="0A056682"/>
    <w:rsid w:val="0B472137"/>
    <w:rsid w:val="0D2D3283"/>
    <w:rsid w:val="0E33107D"/>
    <w:rsid w:val="0E695EE3"/>
    <w:rsid w:val="0EC46E13"/>
    <w:rsid w:val="0F163F19"/>
    <w:rsid w:val="0FAE221E"/>
    <w:rsid w:val="101813C7"/>
    <w:rsid w:val="107C0AD5"/>
    <w:rsid w:val="11317A4E"/>
    <w:rsid w:val="12AD444B"/>
    <w:rsid w:val="14073CA3"/>
    <w:rsid w:val="148368D6"/>
    <w:rsid w:val="151B70E4"/>
    <w:rsid w:val="153425F7"/>
    <w:rsid w:val="155A6881"/>
    <w:rsid w:val="19F421C0"/>
    <w:rsid w:val="1CF91D8D"/>
    <w:rsid w:val="1EA92284"/>
    <w:rsid w:val="1F181CCA"/>
    <w:rsid w:val="20457135"/>
    <w:rsid w:val="208813C1"/>
    <w:rsid w:val="22326B0B"/>
    <w:rsid w:val="22957731"/>
    <w:rsid w:val="236424BE"/>
    <w:rsid w:val="23871813"/>
    <w:rsid w:val="247053D4"/>
    <w:rsid w:val="269A0E6A"/>
    <w:rsid w:val="2B253DEB"/>
    <w:rsid w:val="2EE41205"/>
    <w:rsid w:val="30BE3B47"/>
    <w:rsid w:val="34274E3D"/>
    <w:rsid w:val="348E224D"/>
    <w:rsid w:val="34C71170"/>
    <w:rsid w:val="37722193"/>
    <w:rsid w:val="38D138F4"/>
    <w:rsid w:val="3A0243FB"/>
    <w:rsid w:val="3A7A76AB"/>
    <w:rsid w:val="3B187A66"/>
    <w:rsid w:val="3C9544C9"/>
    <w:rsid w:val="3CE66B72"/>
    <w:rsid w:val="3CFB4A5E"/>
    <w:rsid w:val="3D006466"/>
    <w:rsid w:val="3D833677"/>
    <w:rsid w:val="3FE15171"/>
    <w:rsid w:val="40B42917"/>
    <w:rsid w:val="415573DE"/>
    <w:rsid w:val="41584ECE"/>
    <w:rsid w:val="42B47505"/>
    <w:rsid w:val="43081901"/>
    <w:rsid w:val="43B30AD1"/>
    <w:rsid w:val="44311EA4"/>
    <w:rsid w:val="44F560AC"/>
    <w:rsid w:val="451748C8"/>
    <w:rsid w:val="46BF7C41"/>
    <w:rsid w:val="472166F7"/>
    <w:rsid w:val="48DB734A"/>
    <w:rsid w:val="4CF800B6"/>
    <w:rsid w:val="4CFA2CC5"/>
    <w:rsid w:val="4D695CC4"/>
    <w:rsid w:val="4DAA5965"/>
    <w:rsid w:val="4E6243A4"/>
    <w:rsid w:val="5009458A"/>
    <w:rsid w:val="51617DB8"/>
    <w:rsid w:val="518A5EA7"/>
    <w:rsid w:val="5243101B"/>
    <w:rsid w:val="53486CE7"/>
    <w:rsid w:val="538B6EEB"/>
    <w:rsid w:val="539B2513"/>
    <w:rsid w:val="56A23B05"/>
    <w:rsid w:val="582C11FC"/>
    <w:rsid w:val="58C00B28"/>
    <w:rsid w:val="592D28B1"/>
    <w:rsid w:val="593F281A"/>
    <w:rsid w:val="5E3D6F4B"/>
    <w:rsid w:val="5EB25E45"/>
    <w:rsid w:val="61F9532F"/>
    <w:rsid w:val="629B7F14"/>
    <w:rsid w:val="62E46286"/>
    <w:rsid w:val="642B73A7"/>
    <w:rsid w:val="65A55955"/>
    <w:rsid w:val="66527AE2"/>
    <w:rsid w:val="6B540A44"/>
    <w:rsid w:val="6BFC3E4D"/>
    <w:rsid w:val="6C8D4D71"/>
    <w:rsid w:val="6DEF55B7"/>
    <w:rsid w:val="6F2778E5"/>
    <w:rsid w:val="6F5222A2"/>
    <w:rsid w:val="6FAB30CA"/>
    <w:rsid w:val="70A42B64"/>
    <w:rsid w:val="70D95152"/>
    <w:rsid w:val="71146FB7"/>
    <w:rsid w:val="72032C3C"/>
    <w:rsid w:val="722A15EB"/>
    <w:rsid w:val="725C0A50"/>
    <w:rsid w:val="72E87C49"/>
    <w:rsid w:val="75192A2A"/>
    <w:rsid w:val="754A7D2B"/>
    <w:rsid w:val="76496028"/>
    <w:rsid w:val="769136B0"/>
    <w:rsid w:val="78193359"/>
    <w:rsid w:val="79061127"/>
    <w:rsid w:val="7AFB17D0"/>
    <w:rsid w:val="7C5A0516"/>
    <w:rsid w:val="7C89343F"/>
    <w:rsid w:val="7D2571EE"/>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3"/>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56"/>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57"/>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58"/>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59"/>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60"/>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1"/>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2"/>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3"/>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4"/>
    <w:autoRedefine/>
    <w:qFormat/>
    <w:uiPriority w:val="0"/>
    <w:pPr>
      <w:ind w:firstLine="420" w:firstLineChars="200"/>
    </w:pPr>
  </w:style>
  <w:style w:type="paragraph" w:styleId="12">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3">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1"/>
    <w:autoRedefine/>
    <w:qFormat/>
    <w:uiPriority w:val="0"/>
    <w:pPr>
      <w:spacing w:line="360" w:lineRule="auto"/>
      <w:jc w:val="center"/>
    </w:pPr>
    <w:rPr>
      <w:rFonts w:ascii="Calibri" w:hAnsi="Calibri"/>
      <w:sz w:val="20"/>
      <w:szCs w:val="20"/>
    </w:rPr>
  </w:style>
  <w:style w:type="paragraph" w:styleId="15">
    <w:name w:val="Document Map"/>
    <w:basedOn w:val="1"/>
    <w:link w:val="120"/>
    <w:autoRedefine/>
    <w:semiHidden/>
    <w:qFormat/>
    <w:uiPriority w:val="0"/>
    <w:pPr>
      <w:shd w:val="clear" w:color="auto" w:fill="000080"/>
    </w:pPr>
  </w:style>
  <w:style w:type="paragraph" w:styleId="16">
    <w:name w:val="annotation text"/>
    <w:basedOn w:val="1"/>
    <w:link w:val="72"/>
    <w:autoRedefine/>
    <w:qFormat/>
    <w:uiPriority w:val="99"/>
    <w:pPr>
      <w:jc w:val="left"/>
    </w:pPr>
  </w:style>
  <w:style w:type="paragraph" w:styleId="17">
    <w:name w:val="Body Text"/>
    <w:basedOn w:val="1"/>
    <w:link w:val="85"/>
    <w:autoRedefine/>
    <w:qFormat/>
    <w:uiPriority w:val="0"/>
    <w:pPr>
      <w:spacing w:line="360" w:lineRule="auto"/>
    </w:pPr>
    <w:rPr>
      <w:rFonts w:eastAsia="仿宋_GB2312"/>
      <w:sz w:val="28"/>
    </w:rPr>
  </w:style>
  <w:style w:type="paragraph" w:styleId="18">
    <w:name w:val="Body Text Indent"/>
    <w:basedOn w:val="1"/>
    <w:next w:val="1"/>
    <w:link w:val="66"/>
    <w:autoRedefine/>
    <w:qFormat/>
    <w:uiPriority w:val="0"/>
    <w:pPr>
      <w:spacing w:after="120"/>
      <w:ind w:left="420" w:leftChars="200"/>
    </w:pPr>
  </w:style>
  <w:style w:type="paragraph" w:styleId="19">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0">
    <w:name w:val="List 2"/>
    <w:basedOn w:val="1"/>
    <w:autoRedefine/>
    <w:unhideWhenUsed/>
    <w:qFormat/>
    <w:uiPriority w:val="0"/>
    <w:pPr>
      <w:ind w:left="100" w:leftChars="200" w:hanging="200" w:hangingChars="200"/>
      <w:contextualSpacing/>
    </w:pPr>
  </w:style>
  <w:style w:type="paragraph" w:styleId="21">
    <w:name w:val="Block Text"/>
    <w:basedOn w:val="1"/>
    <w:autoRedefine/>
    <w:qFormat/>
    <w:uiPriority w:val="0"/>
    <w:pPr>
      <w:spacing w:before="120" w:line="360" w:lineRule="auto"/>
      <w:ind w:left="824" w:right="202"/>
    </w:pPr>
    <w:rPr>
      <w:rFonts w:ascii="宋体" w:hAnsi="宋体"/>
      <w:sz w:val="24"/>
      <w:szCs w:val="21"/>
    </w:rPr>
  </w:style>
  <w:style w:type="paragraph" w:styleId="22">
    <w:name w:val="toc 3"/>
    <w:basedOn w:val="1"/>
    <w:next w:val="1"/>
    <w:autoRedefine/>
    <w:unhideWhenUsed/>
    <w:qFormat/>
    <w:uiPriority w:val="0"/>
    <w:pPr>
      <w:ind w:left="840" w:leftChars="400"/>
    </w:pPr>
    <w:rPr>
      <w:rFonts w:ascii="Calibri" w:hAnsi="Calibri"/>
      <w:szCs w:val="22"/>
    </w:rPr>
  </w:style>
  <w:style w:type="paragraph" w:styleId="23">
    <w:name w:val="Plain Text"/>
    <w:basedOn w:val="1"/>
    <w:next w:val="1"/>
    <w:link w:val="64"/>
    <w:autoRedefine/>
    <w:qFormat/>
    <w:uiPriority w:val="0"/>
    <w:rPr>
      <w:rFonts w:ascii="宋体" w:hAnsi="Courier New"/>
      <w:szCs w:val="20"/>
    </w:rPr>
  </w:style>
  <w:style w:type="paragraph" w:styleId="24">
    <w:name w:val="Date"/>
    <w:basedOn w:val="1"/>
    <w:next w:val="1"/>
    <w:link w:val="67"/>
    <w:autoRedefine/>
    <w:qFormat/>
    <w:uiPriority w:val="0"/>
    <w:rPr>
      <w:rFonts w:ascii="楷体_GB2312" w:eastAsia="楷体_GB2312"/>
      <w:b/>
      <w:sz w:val="28"/>
      <w:szCs w:val="20"/>
    </w:rPr>
  </w:style>
  <w:style w:type="paragraph" w:styleId="25">
    <w:name w:val="Body Text Indent 2"/>
    <w:basedOn w:val="1"/>
    <w:link w:val="81"/>
    <w:autoRedefine/>
    <w:qFormat/>
    <w:uiPriority w:val="0"/>
    <w:pPr>
      <w:spacing w:after="120" w:line="480" w:lineRule="auto"/>
      <w:ind w:left="420" w:leftChars="200"/>
    </w:pPr>
  </w:style>
  <w:style w:type="paragraph" w:styleId="26">
    <w:name w:val="Balloon Text"/>
    <w:basedOn w:val="1"/>
    <w:link w:val="199"/>
    <w:autoRedefine/>
    <w:semiHidden/>
    <w:qFormat/>
    <w:uiPriority w:val="0"/>
    <w:rPr>
      <w:sz w:val="18"/>
      <w:szCs w:val="18"/>
    </w:rPr>
  </w:style>
  <w:style w:type="paragraph" w:styleId="27">
    <w:name w:val="footer"/>
    <w:basedOn w:val="1"/>
    <w:link w:val="69"/>
    <w:autoRedefine/>
    <w:qFormat/>
    <w:uiPriority w:val="99"/>
    <w:pPr>
      <w:tabs>
        <w:tab w:val="center" w:pos="4153"/>
        <w:tab w:val="right" w:pos="8306"/>
      </w:tabs>
      <w:snapToGrid w:val="0"/>
      <w:jc w:val="left"/>
    </w:pPr>
    <w:rPr>
      <w:sz w:val="18"/>
      <w:szCs w:val="18"/>
    </w:rPr>
  </w:style>
  <w:style w:type="paragraph" w:styleId="28">
    <w:name w:val="header"/>
    <w:basedOn w:val="1"/>
    <w:link w:val="68"/>
    <w:autoRedefine/>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semiHidden/>
    <w:qFormat/>
    <w:uiPriority w:val="0"/>
  </w:style>
  <w:style w:type="paragraph" w:styleId="30">
    <w:name w:val="toc 4"/>
    <w:basedOn w:val="1"/>
    <w:next w:val="1"/>
    <w:autoRedefine/>
    <w:semiHidden/>
    <w:qFormat/>
    <w:uiPriority w:val="0"/>
    <w:pPr>
      <w:tabs>
        <w:tab w:val="right" w:leader="dot" w:pos="8314"/>
      </w:tabs>
      <w:ind w:firstLine="588" w:firstLineChars="245"/>
    </w:pPr>
  </w:style>
  <w:style w:type="paragraph" w:styleId="31">
    <w:name w:val="Body Text Indent 3"/>
    <w:basedOn w:val="1"/>
    <w:link w:val="200"/>
    <w:autoRedefine/>
    <w:qFormat/>
    <w:uiPriority w:val="0"/>
    <w:pPr>
      <w:spacing w:after="120"/>
      <w:ind w:left="420" w:leftChars="200"/>
    </w:pPr>
    <w:rPr>
      <w:sz w:val="16"/>
      <w:szCs w:val="16"/>
    </w:rPr>
  </w:style>
  <w:style w:type="paragraph" w:styleId="32">
    <w:name w:val="toc 2"/>
    <w:basedOn w:val="1"/>
    <w:next w:val="1"/>
    <w:autoRedefine/>
    <w:semiHidden/>
    <w:qFormat/>
    <w:uiPriority w:val="0"/>
    <w:pPr>
      <w:ind w:left="420" w:leftChars="200"/>
    </w:pPr>
  </w:style>
  <w:style w:type="paragraph" w:styleId="33">
    <w:name w:val="Body Text 2"/>
    <w:basedOn w:val="1"/>
    <w:link w:val="73"/>
    <w:autoRedefine/>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autoRedefine/>
    <w:qFormat/>
    <w:uiPriority w:val="0"/>
    <w:pPr>
      <w:spacing w:after="120"/>
      <w:ind w:left="840" w:leftChars="400"/>
    </w:pPr>
  </w:style>
  <w:style w:type="paragraph" w:styleId="35">
    <w:name w:val="HTML Preformatted"/>
    <w:basedOn w:val="1"/>
    <w:link w:val="2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autoRedefine/>
    <w:semiHidden/>
    <w:qFormat/>
    <w:uiPriority w:val="0"/>
    <w:pPr>
      <w:spacing w:line="320" w:lineRule="exact"/>
    </w:pPr>
    <w:rPr>
      <w:b/>
      <w:snapToGrid w:val="0"/>
      <w:color w:val="FF6600"/>
      <w:kern w:val="0"/>
      <w:sz w:val="18"/>
      <w:szCs w:val="21"/>
    </w:rPr>
  </w:style>
  <w:style w:type="paragraph" w:styleId="38">
    <w:name w:val="Title"/>
    <w:basedOn w:val="1"/>
    <w:next w:val="1"/>
    <w:link w:val="175"/>
    <w:autoRedefine/>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2"/>
    <w:autoRedefine/>
    <w:semiHidden/>
    <w:qFormat/>
    <w:uiPriority w:val="0"/>
    <w:pPr>
      <w:widowControl/>
      <w:spacing w:afterLines="50"/>
    </w:pPr>
    <w:rPr>
      <w:b/>
      <w:bCs/>
      <w:kern w:val="0"/>
      <w:sz w:val="24"/>
      <w:szCs w:val="20"/>
    </w:rPr>
  </w:style>
  <w:style w:type="paragraph" w:styleId="40">
    <w:name w:val="Body Text First Indent"/>
    <w:basedOn w:val="17"/>
    <w:link w:val="203"/>
    <w:autoRedefine/>
    <w:qFormat/>
    <w:uiPriority w:val="0"/>
    <w:pPr>
      <w:spacing w:after="120" w:line="240" w:lineRule="auto"/>
      <w:ind w:firstLine="420" w:firstLineChars="100"/>
    </w:pPr>
    <w:rPr>
      <w:rFonts w:eastAsia="宋体"/>
      <w:sz w:val="21"/>
    </w:rPr>
  </w:style>
  <w:style w:type="paragraph" w:styleId="41">
    <w:name w:val="Body Text First Indent 2"/>
    <w:basedOn w:val="18"/>
    <w:link w:val="204"/>
    <w:autoRedefine/>
    <w:qFormat/>
    <w:uiPriority w:val="0"/>
    <w:pPr>
      <w:ind w:firstLine="420" w:firstLineChars="200"/>
    </w:pPr>
  </w:style>
  <w:style w:type="table" w:styleId="43">
    <w:name w:val="Table Grid"/>
    <w:basedOn w:val="42"/>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autoRedefine/>
    <w:qFormat/>
    <w:uiPriority w:val="0"/>
    <w:rPr>
      <w:b/>
      <w:bCs/>
    </w:rPr>
  </w:style>
  <w:style w:type="character" w:styleId="46">
    <w:name w:val="page number"/>
    <w:basedOn w:val="44"/>
    <w:autoRedefine/>
    <w:qFormat/>
    <w:uiPriority w:val="0"/>
  </w:style>
  <w:style w:type="character" w:styleId="47">
    <w:name w:val="FollowedHyperlink"/>
    <w:autoRedefine/>
    <w:qFormat/>
    <w:uiPriority w:val="99"/>
    <w:rPr>
      <w:color w:val="800080"/>
      <w:u w:val="single"/>
    </w:rPr>
  </w:style>
  <w:style w:type="character" w:styleId="48">
    <w:name w:val="Emphasis"/>
    <w:autoRedefine/>
    <w:qFormat/>
    <w:uiPriority w:val="0"/>
    <w:rPr>
      <w:color w:val="CC0000"/>
    </w:rPr>
  </w:style>
  <w:style w:type="character" w:styleId="49">
    <w:name w:val="Hyperlink"/>
    <w:autoRedefine/>
    <w:qFormat/>
    <w:uiPriority w:val="99"/>
    <w:rPr>
      <w:color w:val="0000FF"/>
      <w:u w:val="single"/>
    </w:rPr>
  </w:style>
  <w:style w:type="character" w:styleId="50">
    <w:name w:val="annotation reference"/>
    <w:autoRedefine/>
    <w:qFormat/>
    <w:uiPriority w:val="99"/>
    <w:rPr>
      <w:sz w:val="21"/>
      <w:szCs w:val="21"/>
    </w:rPr>
  </w:style>
  <w:style w:type="paragraph" w:customStyle="1" w:styleId="51">
    <w:name w:val="首行缩进"/>
    <w:basedOn w:val="1"/>
    <w:autoRedefine/>
    <w:qFormat/>
    <w:uiPriority w:val="99"/>
    <w:pPr>
      <w:spacing w:line="360" w:lineRule="auto"/>
      <w:ind w:firstLine="480" w:firstLineChars="200"/>
    </w:pPr>
    <w:rPr>
      <w:sz w:val="24"/>
      <w:szCs w:val="22"/>
      <w:lang w:val="zh-CN"/>
    </w:rPr>
  </w:style>
  <w:style w:type="paragraph" w:customStyle="1" w:styleId="52">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53">
    <w:name w:val="标题 1 Char"/>
    <w:link w:val="2"/>
    <w:autoRedefine/>
    <w:qFormat/>
    <w:uiPriority w:val="0"/>
    <w:rPr>
      <w:rFonts w:eastAsia="仿宋_GB2312"/>
      <w:b/>
      <w:kern w:val="44"/>
      <w:sz w:val="44"/>
      <w:lang w:val="en-US" w:eastAsia="zh-CN" w:bidi="ar-SA"/>
    </w:rPr>
  </w:style>
  <w:style w:type="character" w:customStyle="1" w:styleId="54">
    <w:name w:val="正文缩进 Char"/>
    <w:link w:val="6"/>
    <w:autoRedefine/>
    <w:qFormat/>
    <w:uiPriority w:val="0"/>
    <w:rPr>
      <w:rFonts w:eastAsia="宋体"/>
      <w:kern w:val="2"/>
      <w:sz w:val="21"/>
      <w:szCs w:val="24"/>
      <w:lang w:val="en-US" w:eastAsia="zh-CN" w:bidi="ar-SA"/>
    </w:rPr>
  </w:style>
  <w:style w:type="paragraph" w:customStyle="1" w:styleId="55">
    <w:name w:val="_Style 15"/>
    <w:basedOn w:val="1"/>
    <w:autoRedefine/>
    <w:qFormat/>
    <w:uiPriority w:val="0"/>
    <w:rPr>
      <w:rFonts w:ascii="Tahoma" w:hAnsi="Tahoma"/>
      <w:sz w:val="24"/>
      <w:szCs w:val="20"/>
    </w:rPr>
  </w:style>
  <w:style w:type="character" w:customStyle="1" w:styleId="56">
    <w:name w:val="标题 2 Char"/>
    <w:link w:val="3"/>
    <w:autoRedefine/>
    <w:qFormat/>
    <w:uiPriority w:val="0"/>
    <w:rPr>
      <w:rFonts w:ascii="Arial" w:hAnsi="Arial" w:eastAsia="黑体"/>
      <w:b/>
      <w:kern w:val="2"/>
      <w:sz w:val="32"/>
      <w:lang w:val="en-US" w:eastAsia="zh-CN" w:bidi="ar-SA"/>
    </w:rPr>
  </w:style>
  <w:style w:type="character" w:customStyle="1" w:styleId="57">
    <w:name w:val="标题 3 Char"/>
    <w:link w:val="4"/>
    <w:autoRedefine/>
    <w:qFormat/>
    <w:uiPriority w:val="0"/>
    <w:rPr>
      <w:rFonts w:eastAsia="仿宋_GB2312"/>
      <w:b/>
      <w:kern w:val="2"/>
      <w:sz w:val="32"/>
      <w:lang w:val="en-US" w:eastAsia="zh-CN" w:bidi="ar-SA"/>
    </w:rPr>
  </w:style>
  <w:style w:type="character" w:customStyle="1" w:styleId="58">
    <w:name w:val="标题 4 Char1"/>
    <w:link w:val="5"/>
    <w:autoRedefine/>
    <w:qFormat/>
    <w:uiPriority w:val="0"/>
    <w:rPr>
      <w:rFonts w:ascii="Arial" w:hAnsi="Arial" w:eastAsia="黑体"/>
      <w:b/>
      <w:kern w:val="2"/>
      <w:sz w:val="28"/>
      <w:lang w:val="en-US" w:eastAsia="zh-CN" w:bidi="ar-SA"/>
    </w:rPr>
  </w:style>
  <w:style w:type="character" w:customStyle="1" w:styleId="59">
    <w:name w:val="标题 5 Char1"/>
    <w:link w:val="7"/>
    <w:autoRedefine/>
    <w:qFormat/>
    <w:uiPriority w:val="0"/>
    <w:rPr>
      <w:rFonts w:eastAsia="宋体"/>
      <w:sz w:val="24"/>
      <w:lang w:val="en-US" w:eastAsia="zh-CN" w:bidi="ar-SA"/>
    </w:rPr>
  </w:style>
  <w:style w:type="character" w:customStyle="1" w:styleId="60">
    <w:name w:val="标题 6 Char1"/>
    <w:link w:val="8"/>
    <w:autoRedefine/>
    <w:qFormat/>
    <w:uiPriority w:val="0"/>
    <w:rPr>
      <w:rFonts w:ascii="宋体" w:hAnsi="Arial" w:eastAsia="宋体"/>
      <w:sz w:val="24"/>
      <w:lang w:val="en-US" w:eastAsia="zh-CN" w:bidi="ar-SA"/>
    </w:rPr>
  </w:style>
  <w:style w:type="character" w:customStyle="1" w:styleId="61">
    <w:name w:val="标题 7 Char1"/>
    <w:link w:val="9"/>
    <w:autoRedefine/>
    <w:qFormat/>
    <w:uiPriority w:val="0"/>
    <w:rPr>
      <w:rFonts w:ascii="宋体" w:hAnsi="Arial" w:eastAsia="宋体"/>
      <w:b/>
      <w:sz w:val="24"/>
      <w:lang w:val="en-US" w:eastAsia="zh-CN" w:bidi="ar-SA"/>
    </w:rPr>
  </w:style>
  <w:style w:type="character" w:customStyle="1" w:styleId="62">
    <w:name w:val="标题 8 Char1"/>
    <w:link w:val="10"/>
    <w:autoRedefine/>
    <w:qFormat/>
    <w:uiPriority w:val="0"/>
    <w:rPr>
      <w:rFonts w:ascii="Arial" w:hAnsi="Arial" w:eastAsia="黑体"/>
      <w:sz w:val="24"/>
      <w:lang w:val="en-US" w:eastAsia="zh-CN" w:bidi="ar-SA"/>
    </w:rPr>
  </w:style>
  <w:style w:type="character" w:customStyle="1" w:styleId="63">
    <w:name w:val="标题 9 Char1"/>
    <w:link w:val="11"/>
    <w:autoRedefine/>
    <w:qFormat/>
    <w:uiPriority w:val="0"/>
    <w:rPr>
      <w:rFonts w:ascii="Arial" w:hAnsi="Arial" w:eastAsia="黑体"/>
      <w:sz w:val="24"/>
      <w:lang w:val="en-US" w:eastAsia="zh-CN" w:bidi="ar-SA"/>
    </w:rPr>
  </w:style>
  <w:style w:type="character" w:customStyle="1" w:styleId="64">
    <w:name w:val="纯文本 Char"/>
    <w:link w:val="23"/>
    <w:autoRedefine/>
    <w:qFormat/>
    <w:uiPriority w:val="0"/>
    <w:rPr>
      <w:rFonts w:ascii="宋体" w:hAnsi="Courier New" w:eastAsia="宋体"/>
      <w:kern w:val="2"/>
      <w:sz w:val="21"/>
      <w:lang w:val="en-US" w:eastAsia="zh-CN" w:bidi="ar-SA"/>
    </w:rPr>
  </w:style>
  <w:style w:type="paragraph" w:customStyle="1" w:styleId="65">
    <w:name w:val="表正文"/>
    <w:basedOn w:val="1"/>
    <w:next w:val="23"/>
    <w:autoRedefine/>
    <w:qFormat/>
    <w:uiPriority w:val="0"/>
    <w:rPr>
      <w:rFonts w:ascii="宋体" w:hAnsi="Courier New"/>
      <w:szCs w:val="20"/>
    </w:rPr>
  </w:style>
  <w:style w:type="character" w:customStyle="1" w:styleId="66">
    <w:name w:val="正文文本缩进 Char"/>
    <w:link w:val="18"/>
    <w:autoRedefine/>
    <w:qFormat/>
    <w:uiPriority w:val="0"/>
    <w:rPr>
      <w:rFonts w:eastAsia="宋体"/>
      <w:kern w:val="2"/>
      <w:sz w:val="21"/>
      <w:szCs w:val="24"/>
      <w:lang w:val="en-US" w:eastAsia="zh-CN" w:bidi="ar-SA"/>
    </w:rPr>
  </w:style>
  <w:style w:type="character" w:customStyle="1" w:styleId="67">
    <w:name w:val="日期 Char2"/>
    <w:link w:val="24"/>
    <w:autoRedefine/>
    <w:qFormat/>
    <w:uiPriority w:val="0"/>
    <w:rPr>
      <w:rFonts w:ascii="楷体_GB2312" w:eastAsia="楷体_GB2312"/>
      <w:b/>
      <w:kern w:val="2"/>
      <w:sz w:val="28"/>
      <w:lang w:val="en-US" w:eastAsia="zh-CN" w:bidi="ar-SA"/>
    </w:rPr>
  </w:style>
  <w:style w:type="character" w:customStyle="1" w:styleId="68">
    <w:name w:val="页眉 Char1"/>
    <w:link w:val="28"/>
    <w:autoRedefine/>
    <w:qFormat/>
    <w:uiPriority w:val="0"/>
    <w:rPr>
      <w:rFonts w:eastAsia="宋体"/>
      <w:kern w:val="2"/>
      <w:sz w:val="18"/>
      <w:szCs w:val="18"/>
      <w:lang w:val="en-US" w:eastAsia="zh-CN" w:bidi="ar-SA"/>
    </w:rPr>
  </w:style>
  <w:style w:type="character" w:customStyle="1" w:styleId="69">
    <w:name w:val="页脚 Char"/>
    <w:link w:val="27"/>
    <w:autoRedefine/>
    <w:qFormat/>
    <w:locked/>
    <w:uiPriority w:val="0"/>
    <w:rPr>
      <w:rFonts w:eastAsia="宋体"/>
      <w:kern w:val="2"/>
      <w:sz w:val="18"/>
      <w:szCs w:val="18"/>
      <w:lang w:val="en-US" w:eastAsia="zh-CN" w:bidi="ar-SA"/>
    </w:rPr>
  </w:style>
  <w:style w:type="paragraph" w:customStyle="1" w:styleId="70">
    <w:name w:val="正文段"/>
    <w:basedOn w:val="1"/>
    <w:link w:val="71"/>
    <w:autoRedefine/>
    <w:qFormat/>
    <w:uiPriority w:val="0"/>
    <w:pPr>
      <w:widowControl/>
      <w:snapToGrid w:val="0"/>
      <w:spacing w:afterLines="50"/>
      <w:ind w:firstLine="200" w:firstLineChars="200"/>
    </w:pPr>
    <w:rPr>
      <w:kern w:val="0"/>
      <w:sz w:val="24"/>
      <w:szCs w:val="20"/>
    </w:rPr>
  </w:style>
  <w:style w:type="character" w:customStyle="1" w:styleId="71">
    <w:name w:val="正文段 Char"/>
    <w:link w:val="70"/>
    <w:autoRedefine/>
    <w:qFormat/>
    <w:uiPriority w:val="0"/>
    <w:rPr>
      <w:rFonts w:eastAsia="宋体"/>
      <w:sz w:val="24"/>
      <w:lang w:val="en-US" w:eastAsia="zh-CN" w:bidi="ar-SA"/>
    </w:rPr>
  </w:style>
  <w:style w:type="character" w:customStyle="1" w:styleId="72">
    <w:name w:val="批注文字 Char1"/>
    <w:link w:val="16"/>
    <w:autoRedefine/>
    <w:qFormat/>
    <w:uiPriority w:val="0"/>
    <w:rPr>
      <w:rFonts w:eastAsia="宋体"/>
      <w:kern w:val="2"/>
      <w:sz w:val="21"/>
      <w:szCs w:val="24"/>
      <w:lang w:val="en-US" w:eastAsia="zh-CN" w:bidi="ar-SA"/>
    </w:rPr>
  </w:style>
  <w:style w:type="character" w:customStyle="1" w:styleId="73">
    <w:name w:val="正文文本 2 Char1"/>
    <w:link w:val="33"/>
    <w:autoRedefine/>
    <w:qFormat/>
    <w:uiPriority w:val="0"/>
    <w:rPr>
      <w:rFonts w:ascii="隶书" w:eastAsia="隶书"/>
      <w:bCs/>
      <w:sz w:val="72"/>
      <w:szCs w:val="84"/>
      <w:lang w:val="en-US" w:eastAsia="zh-CN" w:bidi="ar-SA"/>
    </w:rPr>
  </w:style>
  <w:style w:type="paragraph" w:customStyle="1" w:styleId="74">
    <w:name w:val="Char"/>
    <w:basedOn w:val="1"/>
    <w:autoRedefine/>
    <w:qFormat/>
    <w:uiPriority w:val="0"/>
    <w:rPr>
      <w:rFonts w:ascii="仿宋_GB2312" w:eastAsia="仿宋_GB2312"/>
      <w:b/>
      <w:sz w:val="32"/>
      <w:szCs w:val="32"/>
    </w:rPr>
  </w:style>
  <w:style w:type="paragraph" w:customStyle="1" w:styleId="75">
    <w:name w:val="Table Text"/>
    <w:link w:val="76"/>
    <w:autoRedefine/>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autoRedefine/>
    <w:qFormat/>
    <w:uiPriority w:val="0"/>
    <w:rPr>
      <w:rFonts w:ascii="Arial" w:hAnsi="Arial"/>
      <w:sz w:val="18"/>
      <w:lang w:val="en-US" w:eastAsia="zh-CN" w:bidi="ar-SA"/>
    </w:rPr>
  </w:style>
  <w:style w:type="character" w:customStyle="1" w:styleId="77">
    <w:name w:val="正文（缩进2汉字） Char"/>
    <w:link w:val="78"/>
    <w:autoRedefine/>
    <w:qFormat/>
    <w:uiPriority w:val="0"/>
    <w:rPr>
      <w:rFonts w:ascii="宋体"/>
      <w:kern w:val="2"/>
      <w:sz w:val="21"/>
      <w:lang w:bidi="ar-SA"/>
    </w:rPr>
  </w:style>
  <w:style w:type="paragraph" w:customStyle="1" w:styleId="78">
    <w:name w:val="正文（缩进2汉字）"/>
    <w:basedOn w:val="1"/>
    <w:link w:val="77"/>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autoRedefine/>
    <w:qFormat/>
    <w:uiPriority w:val="0"/>
    <w:pPr>
      <w:tabs>
        <w:tab w:val="left" w:pos="432"/>
      </w:tabs>
      <w:spacing w:beforeLines="50" w:afterLines="50"/>
      <w:ind w:left="432" w:hanging="432"/>
      <w:jc w:val="center"/>
    </w:pPr>
    <w:rPr>
      <w:sz w:val="24"/>
    </w:rPr>
  </w:style>
  <w:style w:type="paragraph" w:customStyle="1" w:styleId="80">
    <w:name w:val="模板普通正文"/>
    <w:basedOn w:val="18"/>
    <w:autoRedefine/>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5"/>
    <w:autoRedefine/>
    <w:qFormat/>
    <w:locked/>
    <w:uiPriority w:val="0"/>
    <w:rPr>
      <w:rFonts w:eastAsia="宋体"/>
      <w:kern w:val="2"/>
      <w:sz w:val="21"/>
      <w:szCs w:val="24"/>
      <w:lang w:val="en-US" w:eastAsia="zh-CN" w:bidi="ar-SA"/>
    </w:rPr>
  </w:style>
  <w:style w:type="paragraph" w:customStyle="1" w:styleId="82">
    <w:name w:val="缺省文本"/>
    <w:basedOn w:val="1"/>
    <w:autoRedefine/>
    <w:qFormat/>
    <w:uiPriority w:val="0"/>
    <w:pPr>
      <w:autoSpaceDE w:val="0"/>
      <w:autoSpaceDN w:val="0"/>
      <w:adjustRightInd w:val="0"/>
      <w:jc w:val="left"/>
    </w:pPr>
    <w:rPr>
      <w:kern w:val="0"/>
      <w:sz w:val="24"/>
    </w:rPr>
  </w:style>
  <w:style w:type="paragraph" w:customStyle="1" w:styleId="83">
    <w:name w:val="WW-正文文字缩进 2"/>
    <w:basedOn w:val="1"/>
    <w:autoRedefine/>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autoRedefine/>
    <w:qFormat/>
    <w:uiPriority w:val="0"/>
    <w:rPr>
      <w:rFonts w:ascii="Tahoma" w:hAnsi="Tahoma"/>
      <w:sz w:val="24"/>
      <w:szCs w:val="20"/>
    </w:rPr>
  </w:style>
  <w:style w:type="character" w:customStyle="1" w:styleId="85">
    <w:name w:val="正文文本 Char1"/>
    <w:link w:val="17"/>
    <w:autoRedefine/>
    <w:qFormat/>
    <w:locked/>
    <w:uiPriority w:val="0"/>
    <w:rPr>
      <w:rFonts w:eastAsia="仿宋_GB2312"/>
      <w:kern w:val="2"/>
      <w:sz w:val="28"/>
      <w:szCs w:val="24"/>
      <w:lang w:val="en-US" w:eastAsia="zh-CN" w:bidi="ar-SA"/>
    </w:rPr>
  </w:style>
  <w:style w:type="paragraph" w:customStyle="1" w:styleId="86">
    <w:name w:val="项目排列"/>
    <w:basedOn w:val="1"/>
    <w:link w:val="87"/>
    <w:autoRedefine/>
    <w:qFormat/>
    <w:uiPriority w:val="0"/>
    <w:pPr>
      <w:tabs>
        <w:tab w:val="left" w:pos="900"/>
      </w:tabs>
      <w:spacing w:beforeLines="50" w:afterLines="50" w:line="300" w:lineRule="auto"/>
      <w:ind w:left="900" w:hanging="420"/>
    </w:pPr>
    <w:rPr>
      <w:sz w:val="24"/>
    </w:rPr>
  </w:style>
  <w:style w:type="character" w:customStyle="1" w:styleId="87">
    <w:name w:val="项目排列 Char"/>
    <w:link w:val="86"/>
    <w:autoRedefine/>
    <w:qFormat/>
    <w:uiPriority w:val="0"/>
    <w:rPr>
      <w:kern w:val="2"/>
      <w:sz w:val="24"/>
      <w:szCs w:val="24"/>
    </w:rPr>
  </w:style>
  <w:style w:type="character" w:customStyle="1" w:styleId="88">
    <w:name w:val="style21"/>
    <w:autoRedefine/>
    <w:qFormat/>
    <w:uiPriority w:val="0"/>
    <w:rPr>
      <w:sz w:val="15"/>
      <w:szCs w:val="15"/>
    </w:rPr>
  </w:style>
  <w:style w:type="paragraph" w:customStyle="1" w:styleId="89">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autoRedefine/>
    <w:qFormat/>
    <w:uiPriority w:val="0"/>
    <w:rPr>
      <w:szCs w:val="20"/>
    </w:rPr>
  </w:style>
  <w:style w:type="paragraph" w:customStyle="1" w:styleId="92">
    <w:name w:val="列出段落1"/>
    <w:basedOn w:val="1"/>
    <w:autoRedefine/>
    <w:qFormat/>
    <w:uiPriority w:val="0"/>
    <w:pPr>
      <w:ind w:firstLine="420" w:firstLineChars="200"/>
    </w:pPr>
    <w:rPr>
      <w:rFonts w:ascii="Calibri" w:hAnsi="Calibri"/>
      <w:szCs w:val="22"/>
    </w:rPr>
  </w:style>
  <w:style w:type="paragraph" w:customStyle="1" w:styleId="93">
    <w:name w:val="默认段落字体 Para Char Char Char Char"/>
    <w:basedOn w:val="1"/>
    <w:autoRedefine/>
    <w:qFormat/>
    <w:uiPriority w:val="0"/>
  </w:style>
  <w:style w:type="paragraph" w:customStyle="1" w:styleId="94">
    <w:name w:val="Char Char Char1 Char Char Char1 Char Char Char Char"/>
    <w:basedOn w:val="1"/>
    <w:autoRedefine/>
    <w:qFormat/>
    <w:uiPriority w:val="0"/>
  </w:style>
  <w:style w:type="character" w:customStyle="1" w:styleId="95">
    <w:name w:val="font1"/>
    <w:autoRedefine/>
    <w:qFormat/>
    <w:uiPriority w:val="0"/>
    <w:rPr>
      <w:color w:val="999999"/>
      <w:sz w:val="18"/>
      <w:szCs w:val="18"/>
      <w:u w:val="none"/>
    </w:rPr>
  </w:style>
  <w:style w:type="paragraph" w:customStyle="1" w:styleId="96">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autoRedefine/>
    <w:qFormat/>
    <w:uiPriority w:val="0"/>
    <w:rPr>
      <w:rFonts w:ascii="Tahoma" w:hAnsi="Tahoma"/>
      <w:sz w:val="24"/>
      <w:szCs w:val="20"/>
    </w:rPr>
  </w:style>
  <w:style w:type="character" w:customStyle="1" w:styleId="98">
    <w:name w:val="apple-style-span"/>
    <w:basedOn w:val="44"/>
    <w:autoRedefine/>
    <w:qFormat/>
    <w:uiPriority w:val="0"/>
  </w:style>
  <w:style w:type="paragraph" w:customStyle="1" w:styleId="99">
    <w:name w:val="正文无缩进"/>
    <w:basedOn w:val="1"/>
    <w:link w:val="100"/>
    <w:autoRedefine/>
    <w:qFormat/>
    <w:uiPriority w:val="0"/>
    <w:pPr>
      <w:spacing w:line="360" w:lineRule="auto"/>
    </w:pPr>
    <w:rPr>
      <w:rFonts w:ascii="宋体"/>
      <w:color w:val="000000"/>
      <w:sz w:val="24"/>
    </w:rPr>
  </w:style>
  <w:style w:type="character" w:customStyle="1" w:styleId="100">
    <w:name w:val="正文无缩进 Char"/>
    <w:link w:val="99"/>
    <w:autoRedefine/>
    <w:qFormat/>
    <w:uiPriority w:val="0"/>
    <w:rPr>
      <w:rFonts w:ascii="宋体" w:eastAsia="宋体"/>
      <w:color w:val="000000"/>
      <w:kern w:val="2"/>
      <w:sz w:val="24"/>
      <w:szCs w:val="24"/>
      <w:lang w:val="en-US" w:eastAsia="zh-CN" w:bidi="ar-SA"/>
    </w:rPr>
  </w:style>
  <w:style w:type="paragraph" w:customStyle="1" w:styleId="101">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4"/>
    <w:autoRedefine/>
    <w:qFormat/>
    <w:uiPriority w:val="0"/>
  </w:style>
  <w:style w:type="paragraph" w:customStyle="1" w:styleId="103">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04">
    <w:name w:val="表格 Char Char"/>
    <w:link w:val="105"/>
    <w:autoRedefine/>
    <w:qFormat/>
    <w:locked/>
    <w:uiPriority w:val="0"/>
    <w:rPr>
      <w:rFonts w:ascii="宋体" w:hAnsi="宋体" w:eastAsia="宋体"/>
      <w:lang w:val="en-US" w:eastAsia="zh-CN" w:bidi="ar-SA"/>
    </w:rPr>
  </w:style>
  <w:style w:type="paragraph" w:customStyle="1" w:styleId="105">
    <w:name w:val="表格"/>
    <w:basedOn w:val="1"/>
    <w:link w:val="104"/>
    <w:autoRedefine/>
    <w:qFormat/>
    <w:uiPriority w:val="0"/>
    <w:pPr>
      <w:snapToGrid w:val="0"/>
      <w:ind w:firstLine="42" w:firstLineChars="21"/>
    </w:pPr>
    <w:rPr>
      <w:rFonts w:ascii="宋体" w:hAnsi="宋体"/>
      <w:kern w:val="0"/>
      <w:sz w:val="20"/>
      <w:szCs w:val="20"/>
    </w:rPr>
  </w:style>
  <w:style w:type="paragraph" w:customStyle="1" w:styleId="106">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autoRedefine/>
    <w:qFormat/>
    <w:uiPriority w:val="0"/>
    <w:pPr>
      <w:widowControl/>
      <w:spacing w:after="160" w:line="240" w:lineRule="exact"/>
      <w:jc w:val="left"/>
    </w:pPr>
  </w:style>
  <w:style w:type="character" w:customStyle="1" w:styleId="108">
    <w:name w:val="Char Char"/>
    <w:autoRedefine/>
    <w:qFormat/>
    <w:uiPriority w:val="0"/>
    <w:rPr>
      <w:rFonts w:hint="eastAsia" w:ascii="宋体" w:hAnsi="Courier New" w:eastAsia="宋体"/>
      <w:kern w:val="2"/>
      <w:sz w:val="21"/>
      <w:lang w:val="en-US" w:eastAsia="zh-CN" w:bidi="ar-SA"/>
    </w:rPr>
  </w:style>
  <w:style w:type="character" w:customStyle="1" w:styleId="109">
    <w:name w:val="style51"/>
    <w:autoRedefine/>
    <w:qFormat/>
    <w:uiPriority w:val="0"/>
    <w:rPr>
      <w:sz w:val="21"/>
      <w:szCs w:val="21"/>
    </w:rPr>
  </w:style>
  <w:style w:type="paragraph" w:customStyle="1" w:styleId="110">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autoRedefine/>
    <w:qFormat/>
    <w:uiPriority w:val="0"/>
    <w:pPr>
      <w:spacing w:line="360" w:lineRule="auto"/>
      <w:ind w:firstLine="480" w:firstLineChars="200"/>
    </w:pPr>
    <w:rPr>
      <w:rFonts w:cs="宋体"/>
      <w:sz w:val="24"/>
      <w:szCs w:val="20"/>
    </w:rPr>
  </w:style>
  <w:style w:type="character" w:customStyle="1" w:styleId="112">
    <w:name w:val="标准文本 Char"/>
    <w:link w:val="111"/>
    <w:autoRedefine/>
    <w:qFormat/>
    <w:uiPriority w:val="0"/>
    <w:rPr>
      <w:rFonts w:eastAsia="宋体" w:cs="宋体"/>
      <w:kern w:val="2"/>
      <w:sz w:val="24"/>
      <w:lang w:val="en-US" w:eastAsia="zh-CN" w:bidi="ar-SA"/>
    </w:rPr>
  </w:style>
  <w:style w:type="paragraph" w:customStyle="1" w:styleId="11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autoRedefine/>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autoRedefine/>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17">
    <w:name w:val="自定义表格文字"/>
    <w:basedOn w:val="1"/>
    <w:autoRedefine/>
    <w:qFormat/>
    <w:uiPriority w:val="0"/>
    <w:pPr>
      <w:spacing w:before="60" w:after="60" w:line="320" w:lineRule="exact"/>
      <w:jc w:val="left"/>
    </w:pPr>
    <w:rPr>
      <w:rFonts w:ascii="宋体" w:eastAsia="楷体_GB2312"/>
    </w:rPr>
  </w:style>
  <w:style w:type="paragraph" w:customStyle="1" w:styleId="118">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5"/>
    <w:autoRedefine/>
    <w:semiHidden/>
    <w:qFormat/>
    <w:uiPriority w:val="0"/>
    <w:rPr>
      <w:rFonts w:eastAsia="宋体"/>
      <w:kern w:val="2"/>
      <w:sz w:val="21"/>
      <w:szCs w:val="24"/>
      <w:lang w:val="en-US" w:eastAsia="zh-CN" w:bidi="ar-SA"/>
    </w:rPr>
  </w:style>
  <w:style w:type="character" w:customStyle="1" w:styleId="121">
    <w:name w:val="Char Char12"/>
    <w:autoRedefine/>
    <w:qFormat/>
    <w:uiPriority w:val="0"/>
    <w:rPr>
      <w:rFonts w:ascii="宋体" w:hAnsi="Courier New" w:eastAsia="宋体"/>
      <w:kern w:val="2"/>
      <w:sz w:val="21"/>
      <w:lang w:val="en-US" w:eastAsia="zh-CN" w:bidi="ar-SA"/>
    </w:rPr>
  </w:style>
  <w:style w:type="character" w:customStyle="1" w:styleId="122">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23">
    <w:name w:val="H5 Char"/>
    <w:autoRedefine/>
    <w:qFormat/>
    <w:uiPriority w:val="0"/>
    <w:rPr>
      <w:rFonts w:ascii="Arial" w:hAnsi="Arial" w:eastAsia="宋体"/>
      <w:sz w:val="24"/>
      <w:lang w:val="en-US" w:eastAsia="zh-CN" w:bidi="ar-SA"/>
    </w:rPr>
  </w:style>
  <w:style w:type="character" w:customStyle="1" w:styleId="124">
    <w:name w:val="Char Char8"/>
    <w:autoRedefine/>
    <w:qFormat/>
    <w:uiPriority w:val="0"/>
    <w:rPr>
      <w:rFonts w:ascii="宋体" w:eastAsia="宋体"/>
      <w:kern w:val="2"/>
      <w:sz w:val="28"/>
      <w:lang w:val="en-US" w:eastAsia="zh-CN" w:bidi="ar-SA"/>
    </w:rPr>
  </w:style>
  <w:style w:type="character" w:customStyle="1" w:styleId="125">
    <w:name w:val="Char Char7"/>
    <w:autoRedefine/>
    <w:qFormat/>
    <w:uiPriority w:val="0"/>
    <w:rPr>
      <w:rFonts w:eastAsia="仿宋_GB2312"/>
      <w:kern w:val="2"/>
      <w:sz w:val="24"/>
      <w:szCs w:val="24"/>
      <w:lang w:val="en-US" w:eastAsia="zh-CN" w:bidi="ar-SA"/>
    </w:rPr>
  </w:style>
  <w:style w:type="paragraph" w:customStyle="1" w:styleId="126">
    <w:name w:val="表内文字"/>
    <w:basedOn w:val="1"/>
    <w:autoRedefine/>
    <w:qFormat/>
    <w:uiPriority w:val="0"/>
    <w:pPr>
      <w:jc w:val="center"/>
    </w:pPr>
    <w:rPr>
      <w:color w:val="FF0000"/>
      <w:kern w:val="0"/>
      <w:sz w:val="24"/>
    </w:rPr>
  </w:style>
  <w:style w:type="character" w:customStyle="1" w:styleId="127">
    <w:name w:val="Char Char3"/>
    <w:autoRedefine/>
    <w:qFormat/>
    <w:uiPriority w:val="0"/>
    <w:rPr>
      <w:rFonts w:eastAsia="仿宋_GB2312"/>
      <w:kern w:val="2"/>
      <w:sz w:val="28"/>
      <w:szCs w:val="24"/>
      <w:lang w:val="en-US" w:eastAsia="zh-CN" w:bidi="ar-SA"/>
    </w:rPr>
  </w:style>
  <w:style w:type="paragraph" w:customStyle="1" w:styleId="128">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autoRedefine/>
    <w:qFormat/>
    <w:uiPriority w:val="0"/>
    <w:pPr>
      <w:tabs>
        <w:tab w:val="left" w:pos="840"/>
      </w:tabs>
      <w:spacing w:after="60"/>
      <w:ind w:left="840" w:hanging="420"/>
    </w:pPr>
    <w:rPr>
      <w:rFonts w:ascii="宋体"/>
      <w:spacing w:val="4"/>
      <w:szCs w:val="20"/>
    </w:rPr>
  </w:style>
  <w:style w:type="paragraph" w:customStyle="1" w:styleId="133">
    <w:name w:val="编10号"/>
    <w:basedOn w:val="1"/>
    <w:autoRedefine/>
    <w:qFormat/>
    <w:uiPriority w:val="0"/>
    <w:pPr>
      <w:tabs>
        <w:tab w:val="left" w:pos="1620"/>
      </w:tabs>
      <w:ind w:left="1620" w:hanging="360"/>
    </w:pPr>
  </w:style>
  <w:style w:type="paragraph" w:customStyle="1" w:styleId="134">
    <w:name w:val="段"/>
    <w:basedOn w:val="1"/>
    <w:autoRedefine/>
    <w:qFormat/>
    <w:uiPriority w:val="0"/>
    <w:pPr>
      <w:ind w:firstLine="425"/>
    </w:pPr>
    <w:rPr>
      <w:rFonts w:ascii="宋体"/>
      <w:szCs w:val="20"/>
    </w:rPr>
  </w:style>
  <w:style w:type="paragraph" w:customStyle="1" w:styleId="135">
    <w:name w:val="Char Char Char Char"/>
    <w:basedOn w:val="1"/>
    <w:autoRedefine/>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autoRedefine/>
    <w:qFormat/>
    <w:uiPriority w:val="0"/>
    <w:rPr>
      <w:rFonts w:hint="eastAsia" w:ascii="宋体" w:hAnsi="宋体" w:eastAsia="宋体"/>
      <w:sz w:val="18"/>
      <w:szCs w:val="18"/>
    </w:rPr>
  </w:style>
  <w:style w:type="paragraph" w:customStyle="1" w:styleId="138">
    <w:name w:val="Char1 Char Char Char Char Char Char"/>
    <w:basedOn w:val="1"/>
    <w:autoRedefine/>
    <w:qFormat/>
    <w:uiPriority w:val="0"/>
    <w:rPr>
      <w:rFonts w:ascii="Tahoma" w:hAnsi="Tahoma"/>
      <w:sz w:val="24"/>
      <w:szCs w:val="20"/>
    </w:rPr>
  </w:style>
  <w:style w:type="paragraph" w:customStyle="1" w:styleId="139">
    <w:name w:val="Char Char2 Char Char Char Char"/>
    <w:basedOn w:val="15"/>
    <w:autoRedefine/>
    <w:qFormat/>
    <w:uiPriority w:val="0"/>
    <w:rPr>
      <w:rFonts w:ascii="Tahoma" w:hAnsi="Tahoma"/>
      <w:sz w:val="24"/>
    </w:rPr>
  </w:style>
  <w:style w:type="paragraph" w:customStyle="1" w:styleId="140">
    <w:name w:val="Char Char Char"/>
    <w:basedOn w:val="15"/>
    <w:autoRedefine/>
    <w:qFormat/>
    <w:uiPriority w:val="0"/>
    <w:rPr>
      <w:rFonts w:ascii="Tahoma" w:hAnsi="Tahoma"/>
      <w:sz w:val="24"/>
    </w:rPr>
  </w:style>
  <w:style w:type="paragraph" w:customStyle="1" w:styleId="141">
    <w:name w:val="正文缩进 New"/>
    <w:basedOn w:val="1"/>
    <w:autoRedefine/>
    <w:qFormat/>
    <w:uiPriority w:val="0"/>
    <w:pPr>
      <w:ind w:firstLine="420" w:firstLineChars="200"/>
    </w:pPr>
    <w:rPr>
      <w:szCs w:val="20"/>
    </w:rPr>
  </w:style>
  <w:style w:type="paragraph" w:customStyle="1" w:styleId="142">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autoRedefine/>
    <w:qFormat/>
    <w:uiPriority w:val="0"/>
    <w:rPr>
      <w:sz w:val="20"/>
      <w:szCs w:val="20"/>
    </w:rPr>
  </w:style>
  <w:style w:type="character" w:customStyle="1" w:styleId="144">
    <w:name w:val="Char Char11"/>
    <w:autoRedefine/>
    <w:qFormat/>
    <w:uiPriority w:val="0"/>
    <w:rPr>
      <w:b/>
      <w:kern w:val="44"/>
      <w:sz w:val="44"/>
    </w:rPr>
  </w:style>
  <w:style w:type="character" w:customStyle="1" w:styleId="145">
    <w:name w:val="Char Char10"/>
    <w:autoRedefine/>
    <w:qFormat/>
    <w:uiPriority w:val="0"/>
    <w:rPr>
      <w:b/>
      <w:kern w:val="2"/>
      <w:sz w:val="28"/>
      <w:szCs w:val="28"/>
    </w:rPr>
  </w:style>
  <w:style w:type="character" w:customStyle="1" w:styleId="146">
    <w:name w:val="Char Char9"/>
    <w:autoRedefine/>
    <w:qFormat/>
    <w:uiPriority w:val="0"/>
    <w:rPr>
      <w:b/>
      <w:kern w:val="2"/>
      <w:sz w:val="24"/>
      <w:szCs w:val="24"/>
    </w:rPr>
  </w:style>
  <w:style w:type="paragraph" w:customStyle="1" w:styleId="147">
    <w:name w:val="Char Char Char 字元 字元"/>
    <w:basedOn w:val="1"/>
    <w:autoRedefine/>
    <w:qFormat/>
    <w:uiPriority w:val="0"/>
    <w:pPr>
      <w:spacing w:line="360" w:lineRule="auto"/>
      <w:ind w:firstLine="200" w:firstLineChars="200"/>
    </w:pPr>
    <w:rPr>
      <w:szCs w:val="20"/>
    </w:rPr>
  </w:style>
  <w:style w:type="paragraph" w:customStyle="1" w:styleId="148">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autoRedefine/>
    <w:qFormat/>
    <w:uiPriority w:val="0"/>
    <w:rPr>
      <w:b/>
      <w:bCs/>
      <w:color w:val="FF0000"/>
    </w:rPr>
  </w:style>
  <w:style w:type="character" w:customStyle="1" w:styleId="151">
    <w:name w:val="info"/>
    <w:basedOn w:val="44"/>
    <w:autoRedefine/>
    <w:qFormat/>
    <w:uiPriority w:val="0"/>
  </w:style>
  <w:style w:type="paragraph" w:customStyle="1" w:styleId="152">
    <w:name w:val="样式 正文缩进 + 首行缩进:  2 字符"/>
    <w:basedOn w:val="6"/>
    <w:link w:val="153"/>
    <w:autoRedefine/>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autoRedefine/>
    <w:qFormat/>
    <w:locked/>
    <w:uiPriority w:val="0"/>
    <w:rPr>
      <w:rFonts w:ascii="宋体" w:hAnsi="宋体" w:eastAsia="宋体"/>
      <w:color w:val="000000"/>
      <w:sz w:val="24"/>
      <w:lang w:bidi="ar-SA"/>
    </w:rPr>
  </w:style>
  <w:style w:type="paragraph" w:customStyle="1" w:styleId="154">
    <w:name w:val="正文2"/>
    <w:basedOn w:val="1"/>
    <w:link w:val="155"/>
    <w:autoRedefine/>
    <w:qFormat/>
    <w:uiPriority w:val="0"/>
    <w:pPr>
      <w:spacing w:before="156" w:line="360" w:lineRule="auto"/>
      <w:ind w:firstLine="510" w:firstLineChars="200"/>
    </w:pPr>
    <w:rPr>
      <w:sz w:val="24"/>
      <w:szCs w:val="20"/>
    </w:rPr>
  </w:style>
  <w:style w:type="character" w:customStyle="1" w:styleId="155">
    <w:name w:val="正文2 Char"/>
    <w:link w:val="154"/>
    <w:autoRedefine/>
    <w:qFormat/>
    <w:uiPriority w:val="0"/>
    <w:rPr>
      <w:rFonts w:eastAsia="宋体"/>
      <w:kern w:val="2"/>
      <w:sz w:val="24"/>
      <w:lang w:val="en-US" w:eastAsia="zh-CN" w:bidi="ar-SA"/>
    </w:rPr>
  </w:style>
  <w:style w:type="paragraph" w:customStyle="1" w:styleId="156">
    <w:name w:val="p0"/>
    <w:basedOn w:val="1"/>
    <w:autoRedefine/>
    <w:qFormat/>
    <w:uiPriority w:val="0"/>
    <w:pPr>
      <w:widowControl/>
    </w:pPr>
    <w:rPr>
      <w:kern w:val="0"/>
      <w:szCs w:val="21"/>
    </w:rPr>
  </w:style>
  <w:style w:type="character" w:customStyle="1" w:styleId="157">
    <w:name w:val="param-name"/>
    <w:basedOn w:val="44"/>
    <w:autoRedefine/>
    <w:qFormat/>
    <w:uiPriority w:val="0"/>
  </w:style>
  <w:style w:type="character" w:customStyle="1" w:styleId="158">
    <w:name w:val="日期 Char"/>
    <w:autoRedefine/>
    <w:qFormat/>
    <w:uiPriority w:val="0"/>
    <w:rPr>
      <w:rFonts w:ascii="楷体_GB2312" w:eastAsia="楷体_GB2312"/>
      <w:b/>
      <w:kern w:val="2"/>
      <w:sz w:val="28"/>
      <w:lang w:val="en-US" w:eastAsia="zh-CN" w:bidi="ar-SA"/>
    </w:rPr>
  </w:style>
  <w:style w:type="character" w:customStyle="1" w:styleId="159">
    <w:name w:val="标题 4 Char"/>
    <w:autoRedefine/>
    <w:qFormat/>
    <w:uiPriority w:val="0"/>
    <w:rPr>
      <w:rFonts w:ascii="Arial" w:hAnsi="Arial" w:eastAsia="黑体"/>
      <w:b/>
      <w:kern w:val="2"/>
      <w:sz w:val="28"/>
      <w:lang w:val="en-US" w:eastAsia="zh-CN" w:bidi="ar-SA"/>
    </w:rPr>
  </w:style>
  <w:style w:type="character" w:customStyle="1" w:styleId="160">
    <w:name w:val="标题 6 Char"/>
    <w:autoRedefine/>
    <w:qFormat/>
    <w:uiPriority w:val="0"/>
    <w:rPr>
      <w:rFonts w:ascii="宋体" w:hAnsi="Arial" w:eastAsia="宋体"/>
      <w:sz w:val="24"/>
      <w:lang w:val="en-US" w:eastAsia="zh-CN" w:bidi="ar-SA"/>
    </w:rPr>
  </w:style>
  <w:style w:type="character" w:customStyle="1" w:styleId="161">
    <w:name w:val="标题 8 Char"/>
    <w:autoRedefine/>
    <w:qFormat/>
    <w:uiPriority w:val="0"/>
    <w:rPr>
      <w:rFonts w:ascii="Arial" w:hAnsi="Arial" w:eastAsia="黑体"/>
      <w:sz w:val="24"/>
      <w:lang w:val="en-US" w:eastAsia="zh-CN" w:bidi="ar-SA"/>
    </w:rPr>
  </w:style>
  <w:style w:type="character" w:customStyle="1" w:styleId="162">
    <w:name w:val="标题 9 Char"/>
    <w:autoRedefine/>
    <w:qFormat/>
    <w:uiPriority w:val="0"/>
    <w:rPr>
      <w:rFonts w:ascii="Arial" w:hAnsi="Arial" w:eastAsia="黑体"/>
      <w:sz w:val="24"/>
      <w:lang w:val="en-US" w:eastAsia="zh-CN" w:bidi="ar-SA"/>
    </w:rPr>
  </w:style>
  <w:style w:type="character" w:customStyle="1" w:styleId="163">
    <w:name w:val="标题 5 Char"/>
    <w:autoRedefine/>
    <w:qFormat/>
    <w:uiPriority w:val="0"/>
    <w:rPr>
      <w:rFonts w:eastAsia="宋体"/>
      <w:sz w:val="24"/>
      <w:lang w:val="en-US" w:eastAsia="zh-CN" w:bidi="ar-SA"/>
    </w:rPr>
  </w:style>
  <w:style w:type="character" w:customStyle="1" w:styleId="164">
    <w:name w:val="正文文本 Char"/>
    <w:autoRedefine/>
    <w:qFormat/>
    <w:locked/>
    <w:uiPriority w:val="0"/>
    <w:rPr>
      <w:rFonts w:eastAsia="仿宋_GB2312"/>
      <w:kern w:val="2"/>
      <w:sz w:val="28"/>
      <w:szCs w:val="24"/>
      <w:lang w:val="en-US" w:eastAsia="zh-CN" w:bidi="ar-SA"/>
    </w:rPr>
  </w:style>
  <w:style w:type="character" w:customStyle="1" w:styleId="165">
    <w:name w:val="正文文本缩进 2 Char"/>
    <w:autoRedefine/>
    <w:qFormat/>
    <w:locked/>
    <w:uiPriority w:val="0"/>
    <w:rPr>
      <w:rFonts w:eastAsia="宋体"/>
      <w:kern w:val="2"/>
      <w:sz w:val="21"/>
      <w:szCs w:val="24"/>
      <w:lang w:val="en-US" w:eastAsia="zh-CN" w:bidi="ar-SA"/>
    </w:rPr>
  </w:style>
  <w:style w:type="character" w:customStyle="1" w:styleId="166">
    <w:name w:val="正文文本 2 Char"/>
    <w:autoRedefine/>
    <w:qFormat/>
    <w:uiPriority w:val="0"/>
    <w:rPr>
      <w:rFonts w:ascii="隶书" w:eastAsia="隶书"/>
      <w:bCs/>
      <w:sz w:val="72"/>
      <w:szCs w:val="84"/>
      <w:lang w:val="en-US" w:eastAsia="zh-CN" w:bidi="ar-SA"/>
    </w:rPr>
  </w:style>
  <w:style w:type="character" w:customStyle="1" w:styleId="167">
    <w:name w:val="标题 7 Char"/>
    <w:autoRedefine/>
    <w:qFormat/>
    <w:uiPriority w:val="0"/>
    <w:rPr>
      <w:rFonts w:ascii="宋体" w:hAnsi="Arial" w:eastAsia="宋体"/>
      <w:b/>
      <w:sz w:val="24"/>
      <w:lang w:val="en-US" w:eastAsia="zh-CN" w:bidi="ar-SA"/>
    </w:rPr>
  </w:style>
  <w:style w:type="character" w:customStyle="1" w:styleId="168">
    <w:name w:val="页眉 Char"/>
    <w:autoRedefine/>
    <w:qFormat/>
    <w:uiPriority w:val="99"/>
    <w:rPr>
      <w:rFonts w:eastAsia="宋体"/>
      <w:kern w:val="2"/>
      <w:sz w:val="18"/>
      <w:szCs w:val="18"/>
      <w:lang w:val="en-US" w:eastAsia="zh-CN" w:bidi="ar-SA"/>
    </w:rPr>
  </w:style>
  <w:style w:type="character" w:customStyle="1" w:styleId="169">
    <w:name w:val="批注文字 Char"/>
    <w:autoRedefine/>
    <w:qFormat/>
    <w:uiPriority w:val="99"/>
    <w:rPr>
      <w:rFonts w:eastAsia="宋体"/>
      <w:kern w:val="2"/>
      <w:sz w:val="21"/>
      <w:szCs w:val="24"/>
      <w:lang w:val="en-US" w:eastAsia="zh-CN" w:bidi="ar-SA"/>
    </w:rPr>
  </w:style>
  <w:style w:type="character" w:customStyle="1" w:styleId="170">
    <w:name w:val="汇视源正文 Char"/>
    <w:link w:val="171"/>
    <w:autoRedefine/>
    <w:qFormat/>
    <w:uiPriority w:val="0"/>
    <w:rPr>
      <w:rFonts w:cs="宋体"/>
      <w:kern w:val="2"/>
      <w:sz w:val="24"/>
      <w:lang w:val="en-US" w:eastAsia="zh-CN" w:bidi="ar-SA"/>
    </w:rPr>
  </w:style>
  <w:style w:type="paragraph" w:customStyle="1" w:styleId="171">
    <w:name w:val="汇视源正文"/>
    <w:link w:val="170"/>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3"/>
    <w:autoRedefine/>
    <w:qFormat/>
    <w:uiPriority w:val="0"/>
    <w:pPr>
      <w:tabs>
        <w:tab w:val="left" w:pos="840"/>
      </w:tabs>
      <w:spacing w:afterLines="0"/>
      <w:ind w:left="425" w:hanging="425"/>
    </w:pPr>
    <w:rPr>
      <w:rFonts w:cs="宋体"/>
    </w:rPr>
  </w:style>
  <w:style w:type="paragraph" w:customStyle="1" w:styleId="173">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38"/>
    <w:autoRedefine/>
    <w:qFormat/>
    <w:locked/>
    <w:uiPriority w:val="0"/>
    <w:rPr>
      <w:rFonts w:ascii="Calibri Light" w:hAnsi="Calibri Light" w:eastAsia="宋体"/>
      <w:b/>
      <w:bCs/>
      <w:kern w:val="2"/>
      <w:sz w:val="32"/>
      <w:szCs w:val="32"/>
      <w:lang w:val="en-US" w:eastAsia="zh-CN" w:bidi="ar-SA"/>
    </w:rPr>
  </w:style>
  <w:style w:type="character" w:customStyle="1" w:styleId="176">
    <w:name w:val="Date Char"/>
    <w:autoRedefine/>
    <w:qFormat/>
    <w:locked/>
    <w:uiPriority w:val="0"/>
    <w:rPr>
      <w:rFonts w:ascii="宋体"/>
      <w:sz w:val="21"/>
      <w:lang w:val="zh-CN"/>
    </w:rPr>
  </w:style>
  <w:style w:type="character" w:customStyle="1" w:styleId="177">
    <w:name w:val="Normal Indent Char"/>
    <w:autoRedefine/>
    <w:qFormat/>
    <w:locked/>
    <w:uiPriority w:val="0"/>
    <w:rPr>
      <w:rFonts w:ascii="宋体" w:eastAsia="宋体"/>
      <w:snapToGrid w:val="0"/>
      <w:color w:val="000000"/>
      <w:kern w:val="28"/>
      <w:sz w:val="28"/>
    </w:rPr>
  </w:style>
  <w:style w:type="character" w:customStyle="1" w:styleId="178">
    <w:name w:val="Plain Text Char"/>
    <w:autoRedefine/>
    <w:qFormat/>
    <w:locked/>
    <w:uiPriority w:val="0"/>
    <w:rPr>
      <w:rFonts w:ascii="宋体" w:hAnsi="Courier New" w:eastAsia="宋体"/>
      <w:snapToGrid w:val="0"/>
      <w:sz w:val="21"/>
    </w:rPr>
  </w:style>
  <w:style w:type="character" w:customStyle="1" w:styleId="179">
    <w:name w:val="日期 Char1"/>
    <w:autoRedefine/>
    <w:qFormat/>
    <w:uiPriority w:val="0"/>
    <w:rPr>
      <w:rFonts w:ascii="Times New Roman" w:hAnsi="Times New Roman" w:eastAsia="宋体" w:cs="Times New Roman"/>
      <w:sz w:val="24"/>
      <w:szCs w:val="24"/>
    </w:rPr>
  </w:style>
  <w:style w:type="character" w:customStyle="1" w:styleId="180">
    <w:name w:val="纯文本 Char1"/>
    <w:link w:val="181"/>
    <w:autoRedefine/>
    <w:qFormat/>
    <w:uiPriority w:val="0"/>
    <w:rPr>
      <w:rFonts w:ascii="宋体" w:hAnsi="Courier New" w:eastAsia="宋体" w:cs="Courier New"/>
      <w:sz w:val="21"/>
      <w:szCs w:val="21"/>
    </w:rPr>
  </w:style>
  <w:style w:type="paragraph" w:customStyle="1" w:styleId="181">
    <w:name w:val="纯文本1"/>
    <w:basedOn w:val="1"/>
    <w:link w:val="180"/>
    <w:autoRedefine/>
    <w:qFormat/>
    <w:uiPriority w:val="0"/>
    <w:rPr>
      <w:rFonts w:ascii="宋体" w:hAnsi="Courier New" w:cs="Courier New"/>
      <w:kern w:val="0"/>
      <w:szCs w:val="21"/>
    </w:rPr>
  </w:style>
  <w:style w:type="paragraph" w:customStyle="1" w:styleId="182">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7"/>
    <w:autoRedefine/>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38"/>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autoRedefine/>
    <w:qFormat/>
    <w:locked/>
    <w:uiPriority w:val="0"/>
    <w:rPr>
      <w:rFonts w:ascii="Times New Roman" w:hAnsi="Times New Roman" w:eastAsia="宋体" w:cs="Times New Roman"/>
      <w:sz w:val="18"/>
      <w:szCs w:val="18"/>
    </w:rPr>
  </w:style>
  <w:style w:type="paragraph" w:customStyle="1" w:styleId="18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189">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autoRedefine/>
    <w:qFormat/>
    <w:uiPriority w:val="0"/>
    <w:rPr>
      <w:rFonts w:ascii="Tahoma" w:hAnsi="Tahoma"/>
      <w:sz w:val="24"/>
      <w:szCs w:val="20"/>
    </w:rPr>
  </w:style>
  <w:style w:type="paragraph" w:customStyle="1" w:styleId="193">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autoRedefine/>
    <w:qFormat/>
    <w:uiPriority w:val="0"/>
    <w:rPr>
      <w:kern w:val="2"/>
      <w:sz w:val="24"/>
    </w:rPr>
  </w:style>
  <w:style w:type="character" w:customStyle="1" w:styleId="197">
    <w:name w:val="普通文字 Char Char3"/>
    <w:autoRedefine/>
    <w:qFormat/>
    <w:uiPriority w:val="0"/>
    <w:rPr>
      <w:rFonts w:ascii="宋体" w:hAnsi="Courier New"/>
      <w:kern w:val="2"/>
      <w:sz w:val="24"/>
      <w:szCs w:val="24"/>
    </w:rPr>
  </w:style>
  <w:style w:type="character" w:customStyle="1" w:styleId="198">
    <w:name w:val="特点 Char2"/>
    <w:autoRedefine/>
    <w:qFormat/>
    <w:uiPriority w:val="0"/>
    <w:rPr>
      <w:rFonts w:ascii="Times New Roman" w:hAnsi="Times New Roman" w:eastAsia="宋体" w:cs="Times New Roman"/>
      <w:szCs w:val="24"/>
    </w:rPr>
  </w:style>
  <w:style w:type="character" w:customStyle="1" w:styleId="199">
    <w:name w:val="批注框文本 Char"/>
    <w:basedOn w:val="44"/>
    <w:link w:val="26"/>
    <w:autoRedefine/>
    <w:semiHidden/>
    <w:qFormat/>
    <w:uiPriority w:val="0"/>
    <w:rPr>
      <w:kern w:val="2"/>
      <w:sz w:val="18"/>
      <w:szCs w:val="18"/>
    </w:rPr>
  </w:style>
  <w:style w:type="character" w:customStyle="1" w:styleId="200">
    <w:name w:val="正文文本缩进 3 Char"/>
    <w:basedOn w:val="44"/>
    <w:link w:val="31"/>
    <w:autoRedefine/>
    <w:qFormat/>
    <w:uiPriority w:val="0"/>
    <w:rPr>
      <w:kern w:val="2"/>
      <w:sz w:val="16"/>
      <w:szCs w:val="16"/>
    </w:rPr>
  </w:style>
  <w:style w:type="character" w:customStyle="1" w:styleId="201">
    <w:name w:val="HTML 预设格式 Char"/>
    <w:basedOn w:val="44"/>
    <w:link w:val="35"/>
    <w:autoRedefine/>
    <w:qFormat/>
    <w:uiPriority w:val="0"/>
    <w:rPr>
      <w:rFonts w:ascii="黑体" w:hAnsi="Courier New" w:eastAsia="黑体" w:cs="Courier New"/>
    </w:rPr>
  </w:style>
  <w:style w:type="character" w:customStyle="1" w:styleId="202">
    <w:name w:val="批注主题 Char"/>
    <w:basedOn w:val="169"/>
    <w:link w:val="39"/>
    <w:autoRedefine/>
    <w:semiHidden/>
    <w:qFormat/>
    <w:uiPriority w:val="0"/>
    <w:rPr>
      <w:rFonts w:eastAsia="宋体"/>
      <w:b/>
      <w:bCs/>
      <w:kern w:val="2"/>
      <w:sz w:val="24"/>
      <w:szCs w:val="24"/>
      <w:lang w:val="en-US" w:eastAsia="zh-CN" w:bidi="ar-SA"/>
    </w:rPr>
  </w:style>
  <w:style w:type="character" w:customStyle="1" w:styleId="203">
    <w:name w:val="正文首行缩进 Char"/>
    <w:basedOn w:val="164"/>
    <w:link w:val="40"/>
    <w:autoRedefine/>
    <w:qFormat/>
    <w:uiPriority w:val="0"/>
    <w:rPr>
      <w:rFonts w:eastAsia="仿宋_GB2312"/>
      <w:kern w:val="2"/>
      <w:sz w:val="21"/>
      <w:szCs w:val="24"/>
      <w:lang w:val="en-US" w:eastAsia="zh-CN" w:bidi="ar-SA"/>
    </w:rPr>
  </w:style>
  <w:style w:type="character" w:customStyle="1" w:styleId="204">
    <w:name w:val="正文首行缩进 2 Char"/>
    <w:basedOn w:val="66"/>
    <w:link w:val="41"/>
    <w:autoRedefine/>
    <w:qFormat/>
    <w:uiPriority w:val="0"/>
    <w:rPr>
      <w:rFonts w:eastAsia="宋体"/>
      <w:kern w:val="2"/>
      <w:sz w:val="21"/>
      <w:szCs w:val="24"/>
      <w:lang w:val="en-US" w:eastAsia="zh-CN" w:bidi="ar-SA"/>
    </w:rPr>
  </w:style>
  <w:style w:type="paragraph" w:customStyle="1" w:styleId="205">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3"/>
    <w:autoRedefine/>
    <w:qFormat/>
    <w:uiPriority w:val="0"/>
    <w:rPr>
      <w:rFonts w:eastAsia="楷体_GB2312" w:cs="Lucida Sans"/>
      <w:kern w:val="2"/>
      <w:sz w:val="24"/>
      <w:szCs w:val="24"/>
    </w:rPr>
  </w:style>
  <w:style w:type="paragraph" w:customStyle="1" w:styleId="208">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autoRedefine/>
    <w:qFormat/>
    <w:uiPriority w:val="0"/>
    <w:rPr>
      <w:rFonts w:ascii="仿宋_GB2312" w:hAnsi="宋体" w:eastAsia="仿宋_GB2312"/>
      <w:sz w:val="31"/>
    </w:rPr>
  </w:style>
  <w:style w:type="paragraph" w:customStyle="1" w:styleId="214">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autoRedefine/>
    <w:qFormat/>
    <w:uiPriority w:val="0"/>
    <w:rPr>
      <w:bCs/>
      <w:kern w:val="44"/>
      <w:sz w:val="24"/>
      <w:szCs w:val="44"/>
    </w:rPr>
  </w:style>
  <w:style w:type="character" w:customStyle="1" w:styleId="254">
    <w:name w:val="Char Char1"/>
    <w:autoRedefine/>
    <w:qFormat/>
    <w:uiPriority w:val="0"/>
    <w:rPr>
      <w:rFonts w:ascii="宋体" w:hAnsi="Courier New" w:eastAsia="宋体"/>
      <w:kern w:val="2"/>
      <w:sz w:val="21"/>
      <w:lang w:val="en-US" w:eastAsia="zh-CN" w:bidi="ar-SA"/>
    </w:rPr>
  </w:style>
  <w:style w:type="paragraph" w:customStyle="1" w:styleId="255">
    <w:name w:val="列出段落2"/>
    <w:basedOn w:val="1"/>
    <w:autoRedefine/>
    <w:qFormat/>
    <w:uiPriority w:val="34"/>
    <w:pPr>
      <w:spacing w:line="440" w:lineRule="exact"/>
      <w:ind w:firstLine="420" w:firstLineChars="200"/>
    </w:pPr>
    <w:rPr>
      <w:rFonts w:eastAsia="仿宋_GB2312"/>
      <w:sz w:val="24"/>
    </w:rPr>
  </w:style>
  <w:style w:type="paragraph" w:customStyle="1" w:styleId="256">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autoRedefine/>
    <w:qFormat/>
    <w:uiPriority w:val="0"/>
    <w:pPr>
      <w:ind w:firstLine="420" w:firstLineChars="200"/>
    </w:pPr>
    <w:rPr>
      <w:rFonts w:ascii="Calibri" w:hAnsi="Calibri"/>
      <w:szCs w:val="22"/>
    </w:rPr>
  </w:style>
  <w:style w:type="paragraph" w:customStyle="1" w:styleId="259">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autoRedefine/>
    <w:qFormat/>
    <w:uiPriority w:val="0"/>
    <w:rPr>
      <w:rFonts w:ascii="Tahoma" w:hAnsi="Tahoma"/>
      <w:sz w:val="24"/>
      <w:szCs w:val="20"/>
    </w:rPr>
  </w:style>
  <w:style w:type="paragraph" w:customStyle="1" w:styleId="265">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4"/>
    <w:autoRedefine/>
    <w:qFormat/>
    <w:uiPriority w:val="0"/>
    <w:rPr>
      <w:rFonts w:hint="eastAsia" w:ascii="宋体" w:hAnsi="宋体" w:eastAsia="宋体" w:cs="宋体"/>
      <w:color w:val="000000"/>
      <w:sz w:val="22"/>
      <w:szCs w:val="22"/>
      <w:u w:val="none"/>
    </w:rPr>
  </w:style>
  <w:style w:type="character" w:customStyle="1" w:styleId="267">
    <w:name w:val="font11"/>
    <w:basedOn w:val="44"/>
    <w:autoRedefine/>
    <w:qFormat/>
    <w:uiPriority w:val="0"/>
    <w:rPr>
      <w:rFonts w:hint="eastAsia" w:ascii="宋体" w:hAnsi="宋体" w:eastAsia="宋体" w:cs="宋体"/>
      <w:color w:val="FF0000"/>
      <w:sz w:val="22"/>
      <w:szCs w:val="22"/>
      <w:u w:val="none"/>
    </w:rPr>
  </w:style>
  <w:style w:type="character" w:customStyle="1" w:styleId="268">
    <w:name w:val="font41"/>
    <w:basedOn w:val="44"/>
    <w:autoRedefine/>
    <w:qFormat/>
    <w:uiPriority w:val="0"/>
    <w:rPr>
      <w:rFonts w:hint="default" w:ascii="等线" w:hAnsi="等线" w:eastAsia="等线" w:cs="等线"/>
      <w:color w:val="FF0000"/>
      <w:sz w:val="22"/>
      <w:szCs w:val="22"/>
      <w:u w:val="none"/>
    </w:rPr>
  </w:style>
  <w:style w:type="character" w:customStyle="1" w:styleId="269">
    <w:name w:val="font21"/>
    <w:basedOn w:val="44"/>
    <w:autoRedefine/>
    <w:qFormat/>
    <w:uiPriority w:val="0"/>
    <w:rPr>
      <w:rFonts w:hint="default" w:ascii="等线" w:hAnsi="等线" w:eastAsia="等线" w:cs="等线"/>
      <w:color w:val="000000"/>
      <w:sz w:val="22"/>
      <w:szCs w:val="22"/>
      <w:u w:val="none"/>
    </w:rPr>
  </w:style>
  <w:style w:type="character" w:customStyle="1" w:styleId="270">
    <w:name w:val="font51"/>
    <w:basedOn w:val="44"/>
    <w:autoRedefine/>
    <w:qFormat/>
    <w:uiPriority w:val="0"/>
    <w:rPr>
      <w:rFonts w:hint="default" w:ascii="等线" w:hAnsi="等线" w:eastAsia="等线" w:cs="等线"/>
      <w:color w:val="FF0000"/>
      <w:sz w:val="22"/>
      <w:szCs w:val="22"/>
      <w:u w:val="none"/>
    </w:rPr>
  </w:style>
  <w:style w:type="character" w:customStyle="1" w:styleId="271">
    <w:name w:val="font61"/>
    <w:basedOn w:val="44"/>
    <w:autoRedefine/>
    <w:qFormat/>
    <w:uiPriority w:val="0"/>
    <w:rPr>
      <w:rFonts w:hint="default" w:ascii="等线" w:hAnsi="等线" w:eastAsia="等线" w:cs="等线"/>
      <w:color w:val="000000"/>
      <w:sz w:val="22"/>
      <w:szCs w:val="22"/>
      <w:u w:val="none"/>
    </w:rPr>
  </w:style>
  <w:style w:type="paragraph" w:customStyle="1" w:styleId="272">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4"/>
    <w:autoRedefine/>
    <w:semiHidden/>
    <w:unhideWhenUsed/>
    <w:qFormat/>
    <w:uiPriority w:val="99"/>
    <w:rPr>
      <w:color w:val="605E5C"/>
      <w:shd w:val="clear" w:color="auto" w:fill="E1DFDD"/>
    </w:rPr>
  </w:style>
  <w:style w:type="paragraph" w:customStyle="1" w:styleId="278">
    <w:name w:val="p15"/>
    <w:basedOn w:val="1"/>
    <w:autoRedefine/>
    <w:qFormat/>
    <w:uiPriority w:val="0"/>
    <w:pPr>
      <w:widowControl/>
      <w:adjustRightInd w:val="0"/>
    </w:pPr>
    <w:rPr>
      <w:rFonts w:ascii="宋体" w:hAnsi="宋体" w:cs="宋体"/>
      <w:kern w:val="0"/>
      <w:sz w:val="20"/>
      <w:szCs w:val="20"/>
    </w:rPr>
  </w:style>
  <w:style w:type="character" w:customStyle="1" w:styleId="279">
    <w:name w:val="bookmark-item"/>
    <w:basedOn w:val="44"/>
    <w:autoRedefine/>
    <w:qFormat/>
    <w:uiPriority w:val="0"/>
  </w:style>
  <w:style w:type="paragraph" w:customStyle="1" w:styleId="280">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4"/>
    <w:autoRedefine/>
    <w:qFormat/>
    <w:uiPriority w:val="0"/>
    <w:rPr>
      <w:rFonts w:ascii="Calibri" w:hAnsi="Calibri"/>
      <w:kern w:val="2"/>
    </w:rPr>
  </w:style>
  <w:style w:type="paragraph" w:customStyle="1" w:styleId="282">
    <w:name w:val="索引 11"/>
    <w:basedOn w:val="1"/>
    <w:next w:val="1"/>
    <w:autoRedefine/>
    <w:qFormat/>
    <w:uiPriority w:val="99"/>
    <w:pPr>
      <w:spacing w:line="360" w:lineRule="auto"/>
    </w:pPr>
    <w:rPr>
      <w:rFonts w:ascii="仿宋_GB2312" w:eastAsia="仿宋_GB2312"/>
      <w:sz w:val="24"/>
      <w:szCs w:val="20"/>
    </w:rPr>
  </w:style>
  <w:style w:type="paragraph" w:customStyle="1" w:styleId="283">
    <w:name w:val="正文缩进1"/>
    <w:basedOn w:val="1"/>
    <w:next w:val="18"/>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autoRedefine/>
    <w:qFormat/>
    <w:locked/>
    <w:uiPriority w:val="99"/>
    <w:rPr>
      <w:kern w:val="2"/>
      <w:sz w:val="18"/>
      <w:szCs w:val="18"/>
    </w:rPr>
  </w:style>
  <w:style w:type="character" w:customStyle="1" w:styleId="286">
    <w:name w:val="页眉 Char2"/>
    <w:autoRedefine/>
    <w:qFormat/>
    <w:uiPriority w:val="99"/>
    <w:rPr>
      <w:kern w:val="2"/>
      <w:sz w:val="18"/>
      <w:szCs w:val="18"/>
    </w:rPr>
  </w:style>
  <w:style w:type="character" w:customStyle="1" w:styleId="287">
    <w:name w:val="font31"/>
    <w:basedOn w:val="44"/>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9BEB14-E618-4B5F-9281-7FF7FF26978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90</Pages>
  <Words>50176</Words>
  <Characters>53427</Characters>
  <Lines>429</Lines>
  <Paragraphs>120</Paragraphs>
  <TotalTime>36</TotalTime>
  <ScaleCrop>false</ScaleCrop>
  <LinksUpToDate>false</LinksUpToDate>
  <CharactersWithSpaces>60117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kk</cp:lastModifiedBy>
  <cp:lastPrinted>2022-10-17T07:13:00Z</cp:lastPrinted>
  <dcterms:modified xsi:type="dcterms:W3CDTF">2024-03-04T07:18:45Z</dcterms:modified>
  <dc:title>绍兴文理学院计算机机房设备及录播系统供货项目</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863FD131DBAB468885E4F9603BA6748C</vt:lpwstr>
  </property>
</Properties>
</file>