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b/>
          <w:color w:val="auto"/>
          <w:spacing w:val="-12"/>
          <w:sz w:val="48"/>
          <w:szCs w:val="48"/>
          <w:highlight w:val="none"/>
        </w:rPr>
      </w:pPr>
      <w:bookmarkStart w:id="171" w:name="_GoBack"/>
      <w:bookmarkEnd w:id="171"/>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w:t>
      </w: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智慧消防安全管理系统（二期）项目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w:t>
            </w:r>
            <w:r>
              <w:rPr>
                <w:rFonts w:hint="eastAsia" w:ascii="仿宋" w:hAnsi="仿宋" w:eastAsia="仿宋" w:cs="仿宋"/>
                <w:color w:val="auto"/>
                <w:sz w:val="28"/>
                <w:szCs w:val="28"/>
                <w:highlight w:val="none"/>
                <w:lang w:eastAsia="zh-CN"/>
              </w:rPr>
              <w:t>十二</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205" w:type="dxa"/>
                </w:tcPr>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绍兴市中医院智慧消防安全管理系统（二期）项目</w:t>
                  </w:r>
                  <w:r>
                    <w:rPr>
                      <w:rFonts w:hint="eastAsia" w:ascii="仿宋" w:hAnsi="仿宋" w:eastAsia="仿宋" w:cs="仿宋"/>
                      <w:color w:val="auto"/>
                      <w:szCs w:val="24"/>
                      <w:highlight w:val="none"/>
                    </w:rPr>
                    <w:t>的潜在投标人应在</w:t>
                  </w:r>
                  <w:r>
                    <w:rPr>
                      <w:rStyle w:val="278"/>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 xml:space="preserve">获取（下载）招标文件，并于2022年月日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0（北京时间）前递交（上传）投标文件。</w:t>
                  </w:r>
                </w:p>
              </w:tc>
            </w:tr>
          </w:tbl>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TYJZ2022</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绍兴市中医院智慧消防安全管理系统（二期）项目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1050000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1050000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绍兴市中医院智慧消防安全管理系统（二期）项目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1050000</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69"/>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时间：/至2022年月日，每天上午00:00至12:00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提交投标文件截止时间：2022年月日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开标时间：2022年月日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徐华</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宋体" w:hAnsi="宋体" w:eastAsia="宋体" w:cs="宋体"/>
                <w:color w:val="auto"/>
                <w:sz w:val="24"/>
                <w:szCs w:val="24"/>
                <w:highlight w:val="none"/>
              </w:rPr>
              <w:t>0575-89107223</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highlight w:val="none"/>
              </w:rPr>
              <w:t> </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sdt>
              <w:sdtPr>
                <w:rPr>
                  <w:rFonts w:hint="eastAsia" w:ascii="仿宋" w:hAnsi="仿宋" w:eastAsia="仿宋" w:cs="仿宋"/>
                  <w:color w:val="auto"/>
                  <w:kern w:val="0"/>
                  <w:sz w:val="24"/>
                  <w:highlight w:val="none"/>
                </w:rPr>
                <w:id w:val="2906080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r>
              <w:rPr>
                <w:rFonts w:hint="eastAsia" w:ascii="仿宋" w:hAnsi="仿宋" w:eastAsia="仿宋" w:cs="仿宋"/>
                <w:b/>
                <w:bCs/>
                <w:color w:val="auto"/>
                <w:sz w:val="24"/>
                <w:highlight w:val="none"/>
              </w:rPr>
              <w:t>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ind w:firstLine="0" w:firstLineChars="0"/>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讲解演示：</w:t>
            </w:r>
            <w:r>
              <w:rPr>
                <w:rFonts w:hint="eastAsia" w:ascii="仿宋" w:hAnsi="仿宋" w:eastAsia="仿宋" w:cs="仿宋"/>
                <w:color w:val="auto"/>
                <w:kern w:val="0"/>
                <w:sz w:val="21"/>
                <w:szCs w:val="21"/>
                <w:highlight w:val="none"/>
              </w:rPr>
              <w:t>注</w:t>
            </w:r>
            <w:r>
              <w:rPr>
                <w:rFonts w:hint="eastAsia" w:ascii="仿宋" w:hAnsi="仿宋" w:eastAsia="仿宋" w:cs="仿宋"/>
                <w:color w:val="auto"/>
                <w:kern w:val="2"/>
                <w:sz w:val="24"/>
                <w:szCs w:val="24"/>
                <w:highlight w:val="none"/>
              </w:rPr>
              <w:t>：本项目系统功能演示需以MP4格式文件</w:t>
            </w:r>
            <w:r>
              <w:rPr>
                <w:rFonts w:hint="eastAsia" w:ascii="仿宋" w:hAnsi="仿宋" w:eastAsia="仿宋" w:cs="仿宋"/>
                <w:color w:val="auto"/>
                <w:kern w:val="2"/>
                <w:sz w:val="24"/>
                <w:highlight w:val="none"/>
                <w:lang w:val="en-US" w:eastAsia="zh-CN"/>
              </w:rPr>
              <w:t>（</w:t>
            </w:r>
            <w:r>
              <w:rPr>
                <w:rFonts w:hint="eastAsia" w:ascii="仿宋" w:hAnsi="仿宋" w:eastAsia="仿宋" w:cs="仿宋"/>
                <w:color w:val="auto"/>
                <w:kern w:val="2"/>
                <w:sz w:val="24"/>
                <w:szCs w:val="24"/>
                <w:highlight w:val="none"/>
                <w:lang w:val="zh-CN"/>
              </w:rPr>
              <w:t>使用图片、PPT演示不得分</w:t>
            </w:r>
            <w:r>
              <w:rPr>
                <w:rFonts w:hint="eastAsia" w:ascii="仿宋" w:hAnsi="仿宋" w:eastAsia="仿宋" w:cs="仿宋"/>
                <w:color w:val="auto"/>
                <w:kern w:val="2"/>
                <w:sz w:val="24"/>
                <w:highlight w:val="none"/>
                <w:lang w:val="en-US" w:eastAsia="zh-CN"/>
              </w:rPr>
              <w:t>）</w:t>
            </w:r>
            <w:r>
              <w:rPr>
                <w:rFonts w:hint="eastAsia" w:ascii="仿宋" w:hAnsi="仿宋" w:eastAsia="仿宋" w:cs="仿宋"/>
                <w:color w:val="auto"/>
                <w:kern w:val="2"/>
                <w:sz w:val="24"/>
                <w:szCs w:val="24"/>
                <w:highlight w:val="none"/>
              </w:rPr>
              <w:t>放置到U盘中，U盘先密封至独立的信封，且在信封上标明“软件系统演示”字样，密封口应加盖投标人公章，之后把密封的信封在投标截止时间前寄达，每个投标单位演示播放时间不得超过15分钟，超时部分不计入评分范围，最终由专家进行综合评分。</w:t>
            </w:r>
            <w:r>
              <w:rPr>
                <w:rFonts w:hint="eastAsia" w:ascii="仿宋" w:hAnsi="仿宋" w:eastAsia="仿宋" w:cs="仿宋"/>
                <w:color w:val="auto"/>
                <w:sz w:val="24"/>
                <w:highlight w:val="none"/>
              </w:rPr>
              <w:t>演示</w:t>
            </w:r>
            <w:r>
              <w:rPr>
                <w:rFonts w:hint="eastAsia" w:ascii="仿宋" w:hAnsi="仿宋" w:eastAsia="仿宋" w:cs="仿宋"/>
                <w:color w:val="auto"/>
                <w:kern w:val="2"/>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每个投标人演示开始前的调试准备时间不超过15分钟，演示时间不超过15分钟，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绍兴市越城区朝皇路</w:t>
            </w:r>
            <w:r>
              <w:rPr>
                <w:rFonts w:hint="eastAsia" w:ascii="仿宋_GB2312" w:hAnsi="仿宋" w:eastAsia="仿宋_GB2312" w:cs="仿宋_GB2312"/>
                <w:b w:val="0"/>
                <w:bCs/>
                <w:color w:val="auto"/>
                <w:kern w:val="0"/>
                <w:sz w:val="24"/>
                <w:highlight w:val="none"/>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pPr>
              <w:spacing w:line="440" w:lineRule="exact"/>
              <w:ind w:firstLine="0" w:firstLineChars="0"/>
              <w:rPr>
                <w:rFonts w:hint="eastAsia" w:ascii="仿宋" w:hAnsi="仿宋" w:eastAsia="仿宋" w:cs="仿宋"/>
                <w:color w:val="auto"/>
                <w:sz w:val="24"/>
                <w:highlight w:val="none"/>
                <w:lang w:eastAsia="zh-CN"/>
              </w:rPr>
            </w:pPr>
            <w:r>
              <w:rPr>
                <w:rFonts w:hint="eastAsia" w:ascii="仿宋_GB2312" w:hAnsi="宋体" w:eastAsia="仿宋_GB2312" w:cs="宋体"/>
                <w:b/>
                <w:bCs/>
                <w:color w:val="auto"/>
                <w:sz w:val="24"/>
                <w:highlight w:val="none"/>
              </w:rPr>
              <w:t>其他：</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rPr>
              <w:t>用户传输装置</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（1）标的：标项一，属于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为本项目的采购人（合同中的甲方），</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为采购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bookmarkStart w:id="4" w:name="_Toc81372776"/>
      <w:bookmarkStart w:id="5" w:name="_Toc81372953"/>
      <w:bookmarkStart w:id="6" w:name="_Toc84325929"/>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3"/>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ind w:right="0"/>
        <w:jc w:val="left"/>
        <w:rPr>
          <w:rFonts w:hint="eastAsia" w:ascii="仿宋" w:hAnsi="仿宋" w:eastAsia="仿宋" w:cs="仿宋"/>
          <w:b/>
          <w:bCs/>
          <w:color w:val="auto"/>
          <w:sz w:val="24"/>
          <w:highlight w:val="none"/>
          <w:bdr w:val="single" w:color="auto" w:sz="4" w:space="0"/>
        </w:rPr>
      </w:pPr>
      <w:bookmarkStart w:id="7" w:name="_Toc151354173"/>
      <w:bookmarkStart w:id="8" w:name="_Toc80157775"/>
      <w:bookmarkStart w:id="9" w:name="_Toc81372964"/>
      <w:bookmarkStart w:id="10" w:name="_Toc81372787"/>
      <w:bookmarkStart w:id="11" w:name="_Toc84325981"/>
      <w:r>
        <w:rPr>
          <w:rFonts w:hint="eastAsia" w:ascii="仿宋" w:hAnsi="仿宋" w:eastAsia="仿宋" w:cs="仿宋"/>
          <w:b/>
          <w:color w:val="auto"/>
          <w:sz w:val="24"/>
          <w:highlight w:val="none"/>
        </w:rPr>
        <w:t>8.招标项目设备名称及数量：</w:t>
      </w:r>
    </w:p>
    <w:p>
      <w:pPr>
        <w:spacing w:line="440" w:lineRule="exact"/>
        <w:ind w:right="42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01标</w:t>
      </w:r>
      <w:bookmarkStart w:id="12" w:name="_Toc7206"/>
      <w:bookmarkStart w:id="13" w:name="_Toc32678"/>
      <w:r>
        <w:rPr>
          <w:rFonts w:hint="eastAsia" w:ascii="仿宋" w:hAnsi="仿宋" w:eastAsia="仿宋" w:cs="仿宋"/>
          <w:b/>
          <w:bCs/>
          <w:color w:val="auto"/>
          <w:sz w:val="24"/>
          <w:highlight w:val="none"/>
          <w:lang w:eastAsia="zh-CN"/>
        </w:rPr>
        <w:t>绍兴市中医院智慧消防安全管理系统（二期）项目，</w:t>
      </w:r>
      <w:r>
        <w:rPr>
          <w:rFonts w:hint="eastAsia" w:ascii="仿宋" w:hAnsi="仿宋" w:eastAsia="仿宋" w:cs="仿宋"/>
          <w:b/>
          <w:bCs/>
          <w:color w:val="auto"/>
          <w:highlight w:val="none"/>
        </w:rPr>
        <w:t>总预算</w:t>
      </w:r>
      <w:r>
        <w:rPr>
          <w:rFonts w:hint="eastAsia" w:ascii="仿宋" w:hAnsi="仿宋" w:eastAsia="仿宋" w:cs="仿宋"/>
          <w:b/>
          <w:bCs/>
          <w:color w:val="auto"/>
          <w:highlight w:val="none"/>
          <w:lang w:val="en-US" w:eastAsia="zh-CN"/>
        </w:rPr>
        <w:t>105</w:t>
      </w:r>
      <w:r>
        <w:rPr>
          <w:rFonts w:hint="eastAsia" w:ascii="仿宋" w:hAnsi="仿宋" w:eastAsia="仿宋" w:cs="仿宋"/>
          <w:b/>
          <w:bCs/>
          <w:color w:val="auto"/>
          <w:highlight w:val="none"/>
        </w:rPr>
        <w:t>万</w:t>
      </w:r>
      <w:r>
        <w:rPr>
          <w:rFonts w:hint="eastAsia" w:ascii="仿宋" w:hAnsi="仿宋" w:eastAsia="仿宋" w:cs="仿宋"/>
          <w:b/>
          <w:bCs/>
          <w:color w:val="auto"/>
          <w:sz w:val="24"/>
          <w:highlight w:val="none"/>
          <w:lang w:eastAsia="zh-CN"/>
        </w:rPr>
        <w:t>。</w:t>
      </w:r>
    </w:p>
    <w:bookmarkEnd w:id="7"/>
    <w:bookmarkEnd w:id="12"/>
    <w:bookmarkEnd w:id="13"/>
    <w:p>
      <w:pPr>
        <w:pStyle w:val="4"/>
        <w:numPr>
          <w:ilvl w:val="0"/>
          <w:numId w:val="0"/>
        </w:numPr>
        <w:spacing w:before="0" w:after="0" w:line="360" w:lineRule="auto"/>
        <w:ind w:left="425" w:leftChars="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1.采购清单（</w:t>
      </w:r>
      <w:r>
        <w:rPr>
          <w:rFonts w:hint="eastAsia" w:ascii="仿宋" w:hAnsi="仿宋" w:eastAsia="仿宋" w:cs="仿宋"/>
          <w:color w:val="auto"/>
          <w:sz w:val="24"/>
          <w:szCs w:val="24"/>
          <w:highlight w:val="none"/>
        </w:rPr>
        <w:t>采购数量为预计量，医院按实际用量采购和结算</w:t>
      </w:r>
      <w:r>
        <w:rPr>
          <w:rFonts w:hint="eastAsia" w:ascii="仿宋" w:hAnsi="仿宋" w:eastAsia="仿宋" w:cs="仿宋"/>
          <w:b/>
          <w:color w:val="auto"/>
          <w:kern w:val="2"/>
          <w:sz w:val="24"/>
          <w:szCs w:val="24"/>
          <w:highlight w:val="none"/>
          <w:lang w:val="en-US" w:eastAsia="zh-CN" w:bidi="ar-SA"/>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170"/>
        <w:gridCol w:w="4423"/>
        <w:gridCol w:w="460"/>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3" w:type="pct"/>
            <w:noWrap/>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277" w:type="pct"/>
            <w:noWrap/>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名称</w:t>
            </w:r>
          </w:p>
        </w:tc>
        <w:tc>
          <w:tcPr>
            <w:tcW w:w="2603" w:type="pct"/>
            <w:noWrap/>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用途</w:t>
            </w:r>
          </w:p>
        </w:tc>
        <w:tc>
          <w:tcPr>
            <w:tcW w:w="270" w:type="pct"/>
            <w:noWrap/>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475" w:type="pct"/>
            <w:noWrap/>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r>
              <w:rPr>
                <w:rFonts w:hint="eastAsia" w:ascii="仿宋" w:hAnsi="仿宋" w:eastAsia="仿宋" w:cs="仿宋"/>
                <w:color w:val="auto"/>
                <w:sz w:val="21"/>
                <w:szCs w:val="21"/>
                <w:highlight w:val="none"/>
              </w:rPr>
              <w:t>1</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智慧消防综合监管平台定制升级开发</w:t>
            </w:r>
          </w:p>
        </w:tc>
        <w:tc>
          <w:tcPr>
            <w:tcW w:w="2603" w:type="pct"/>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是安装的消防物联设备所采集到的数据以及各种消防业务数据与用户之间产生交互的PC端窗口。</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手机小程序</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是消防数据和业务与用户产生交互的手机端窗口，可为用户提供实际操作界面。</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手机公众号</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是消防数据和业务与用户产生交互的手机端窗口，可为用户提供实际操作界面，并具有报警推送提醒功能，功能与小程序有所区分。</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用户传输装置</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用于采集并传输火灾报警主机上的各项数据与信息。</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室内智能无线压力采集设备</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用于采集消防水灭火系统管网上的压力数据。</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室外消火栓无线压力计</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用于室外消火栓的压力数据。</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物联网多信号采集终端</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用于采集消防控制柜、风机控制柜、防火卷帘控制柜、气体灭火压力传感器上的信号值。</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智能电子巡查标签</w:t>
            </w:r>
          </w:p>
        </w:tc>
        <w:tc>
          <w:tcPr>
            <w:tcW w:w="2603" w:type="pct"/>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用于存储消防设施设备数据，并供移动端手持设备进行巡检扫描。</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张</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气体压力监测传感器</w:t>
            </w:r>
          </w:p>
        </w:tc>
        <w:tc>
          <w:tcPr>
            <w:tcW w:w="2603" w:type="pct"/>
            <w:noWrap w:val="0"/>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用于采集气体灭火钢瓶压力数据</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277" w:type="pct"/>
            <w:noWrap/>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人员监测、可视对讲摄像机</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用于监查人员在离岗状态</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73"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277" w:type="pct"/>
            <w:noWrap/>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探测绝缘性能式（阻性）电气火灾监控探测器</w:t>
            </w:r>
          </w:p>
        </w:tc>
        <w:tc>
          <w:tcPr>
            <w:tcW w:w="2603" w:type="pct"/>
            <w:noWrap w:val="0"/>
            <w:vAlign w:val="center"/>
          </w:tcPr>
          <w:p>
            <w:pPr>
              <w:ind w:left="-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用于检测配电线路的纯阻性漏电电流（阻性分量漏电）并进行漏电报警。</w:t>
            </w:r>
          </w:p>
        </w:tc>
        <w:tc>
          <w:tcPr>
            <w:tcW w:w="270"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475" w:type="pct"/>
            <w:noWrap/>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bl>
    <w:p>
      <w:pPr>
        <w:pStyle w:val="4"/>
        <w:numPr>
          <w:ilvl w:val="0"/>
          <w:numId w:val="0"/>
        </w:numPr>
        <w:spacing w:before="0" w:after="0" w:line="360" w:lineRule="auto"/>
        <w:ind w:left="0" w:firstLine="0" w:firstLineChars="0"/>
        <w:rPr>
          <w:rFonts w:hint="eastAsia" w:ascii="仿宋" w:hAnsi="仿宋" w:eastAsia="仿宋" w:cs="仿宋"/>
          <w:color w:val="auto"/>
          <w:sz w:val="28"/>
          <w:szCs w:val="28"/>
          <w:highlight w:val="none"/>
        </w:rPr>
      </w:pPr>
      <w:r>
        <w:rPr>
          <w:rFonts w:hint="eastAsia" w:ascii="仿宋" w:hAnsi="仿宋" w:eastAsia="仿宋" w:cs="仿宋"/>
          <w:b/>
          <w:color w:val="auto"/>
          <w:kern w:val="2"/>
          <w:sz w:val="24"/>
          <w:szCs w:val="24"/>
          <w:highlight w:val="none"/>
          <w:lang w:val="en-US" w:eastAsia="zh-CN" w:bidi="ar-SA"/>
        </w:rPr>
        <w:t>2.技术参数</w:t>
      </w:r>
    </w:p>
    <w:tbl>
      <w:tblPr>
        <w:tblStyle w:val="43"/>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014"/>
        <w:gridCol w:w="5665"/>
        <w:gridCol w:w="584"/>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67" w:type="pct"/>
            <w:noWrap/>
            <w:vAlign w:val="center"/>
          </w:tcPr>
          <w:p>
            <w:pPr>
              <w:jc w:val="center"/>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序号</w:t>
            </w:r>
          </w:p>
        </w:tc>
        <w:tc>
          <w:tcPr>
            <w:tcW w:w="589" w:type="pct"/>
            <w:noWrap/>
            <w:vAlign w:val="center"/>
          </w:tcPr>
          <w:p>
            <w:pPr>
              <w:jc w:val="center"/>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名称</w:t>
            </w:r>
          </w:p>
        </w:tc>
        <w:tc>
          <w:tcPr>
            <w:tcW w:w="3296" w:type="pct"/>
            <w:noWrap/>
            <w:vAlign w:val="center"/>
          </w:tcPr>
          <w:p>
            <w:pPr>
              <w:jc w:val="center"/>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技术参数</w:t>
            </w:r>
          </w:p>
        </w:tc>
        <w:tc>
          <w:tcPr>
            <w:tcW w:w="339" w:type="pct"/>
            <w:noWrap/>
            <w:vAlign w:val="center"/>
          </w:tcPr>
          <w:p>
            <w:pPr>
              <w:jc w:val="center"/>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单位</w:t>
            </w:r>
          </w:p>
        </w:tc>
        <w:tc>
          <w:tcPr>
            <w:tcW w:w="406" w:type="pct"/>
            <w:noWrap/>
            <w:vAlign w:val="center"/>
          </w:tcPr>
          <w:p>
            <w:pPr>
              <w:jc w:val="center"/>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0"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br w:type="page"/>
            </w:r>
            <w:r>
              <w:rPr>
                <w:rFonts w:hint="eastAsia" w:ascii="仿宋" w:hAnsi="仿宋" w:eastAsia="仿宋" w:cs="仿宋"/>
                <w:color w:val="auto"/>
                <w:sz w:val="18"/>
                <w:szCs w:val="18"/>
                <w:highlight w:val="none"/>
              </w:rPr>
              <w:t>1</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智慧消防综合监管平台定制升级开发</w:t>
            </w:r>
          </w:p>
        </w:tc>
        <w:tc>
          <w:tcPr>
            <w:tcW w:w="3296" w:type="pct"/>
            <w:noWrap w:val="0"/>
            <w:vAlign w:val="center"/>
          </w:tcPr>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综合数据展示：</w:t>
            </w:r>
          </w:p>
          <w:p>
            <w:pPr>
              <w:pStyle w:val="89"/>
              <w:numPr>
                <w:ilvl w:val="0"/>
                <w:numId w:val="8"/>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消防设备的在线情况：显示所有接入的火灾探测设备和火灾救援设备设备的在线情况和故障数量等</w:t>
            </w:r>
          </w:p>
          <w:p>
            <w:pPr>
              <w:pStyle w:val="89"/>
              <w:numPr>
                <w:ilvl w:val="0"/>
                <w:numId w:val="8"/>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防火巡查数据：记录每位巡查员在的防火巡查完成情况（例如巡查时间和巡查位置），以及不同时间段内总体巡查情况（例如每日，每月或每年等）</w:t>
            </w:r>
          </w:p>
          <w:p>
            <w:pPr>
              <w:pStyle w:val="89"/>
              <w:numPr>
                <w:ilvl w:val="0"/>
                <w:numId w:val="8"/>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消防年检和维保情况：将第三方消防年检和维保单位的工作结果接入平台并展示。</w:t>
            </w:r>
          </w:p>
          <w:p>
            <w:pPr>
              <w:pStyle w:val="89"/>
              <w:numPr>
                <w:ilvl w:val="0"/>
                <w:numId w:val="8"/>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综合消防状况评估：通过对院内消防设备的状况，防火巡查的情况，以及消防年检、维保的情况的智能计算，在页面上显示医院整体消防安全指数，并给出改善意见。</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火灾报警监控：在现有智慧消防平台相关模块功能基础上（现有功能需自行与相关承建商对接），新增回填警情现场处理情况，形成报警处理闭环。</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视频联动：现场有设备报警时，可调取联动摄像头实时查看现在真实情况。</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防排烟系统监测：通过采集并展示排烟风机控制柜的信号，判断排烟风机是否处于正常状态，当控制柜信号发生异常时，可推送报警信息至平台。</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气体灭火系统监测：通过采集并展示气体灭火钢瓶的压力数值与点位，反馈气体钢瓶的运行状态，当期状态发生异常时，可推送报警信息至平台。</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防火巡查管理：防火巡查从报警至问题处理闭环记录。</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设备报警定位：根据消防CRT图与楼层平面图相结合，定位报警点位。当设备（烟感、手报或智能预警设备）发生告警时，平台能图文显示具体告警点位。</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消控室可视化：可通过视频在平台上实时查看消控室内情况，并智能分析人员是否有离岗、睡岗等情况。</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电气系统监测：接入已有电气火灾监控主机的信号，实时反馈主机上报警、故障等信息并进行预警。</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数据分类汇总与预警明细：不同模块的数据，按年、月、日、周、季度等不同时间维度进行分类汇总，同时按各种设备分类提供消防预警明细数据等,</w:t>
            </w:r>
          </w:p>
          <w:p>
            <w:pPr>
              <w:pStyle w:val="89"/>
              <w:numPr>
                <w:ilvl w:val="0"/>
                <w:numId w:val="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平台对外接口开发：为将来平台接入绍兴市卫健系统或消防系统大平台对接开发数据接口</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套</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手机小程序</w:t>
            </w:r>
          </w:p>
        </w:tc>
        <w:tc>
          <w:tcPr>
            <w:tcW w:w="3296" w:type="pct"/>
            <w:noWrap w:val="0"/>
            <w:vAlign w:val="center"/>
          </w:tcPr>
          <w:p>
            <w:pPr>
              <w:ind w:left="-57"/>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在现有智慧消防小程序功能基础上（现有功能需自行与相关承建商对接），进行如下功能的新增：</w:t>
            </w:r>
          </w:p>
          <w:p>
            <w:pPr>
              <w:pStyle w:val="89"/>
              <w:numPr>
                <w:ilvl w:val="0"/>
                <w:numId w:val="9"/>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新增可通过与智能巡查标签系统的结合，将消防日常巡查工作嵌入到小程序中，可查看巡查记录与结果；</w:t>
            </w:r>
          </w:p>
          <w:p>
            <w:pPr>
              <w:pStyle w:val="89"/>
              <w:numPr>
                <w:ilvl w:val="0"/>
                <w:numId w:val="9"/>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当需要报修时，可立即申请工单，并将第三方维保、检测单位的工作在系统中体现，并展示工作结果和报表，最终形成巡查-维修-记录的闭环。</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套</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手机公众号</w:t>
            </w:r>
          </w:p>
        </w:tc>
        <w:tc>
          <w:tcPr>
            <w:tcW w:w="3296" w:type="pct"/>
            <w:noWrap w:val="0"/>
            <w:vAlign w:val="center"/>
          </w:tcPr>
          <w:p>
            <w:pPr>
              <w:pStyle w:val="89"/>
              <w:numPr>
                <w:ilvl w:val="0"/>
                <w:numId w:val="10"/>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在现有智慧消防公众号的基础上，增添各物联系统报警推送功能，推送时附带相关报警点位等信息；</w:t>
            </w:r>
          </w:p>
          <w:p>
            <w:pPr>
              <w:pStyle w:val="89"/>
              <w:numPr>
                <w:ilvl w:val="0"/>
                <w:numId w:val="10"/>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接收到报警信息提示后可根据提示点位和路线，到现场进行处理情况的文字、语音，图片或视频的反馈。</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套</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用户传输装置</w:t>
            </w:r>
          </w:p>
        </w:tc>
        <w:tc>
          <w:tcPr>
            <w:tcW w:w="3296" w:type="pct"/>
            <w:noWrap w:val="0"/>
            <w:vAlign w:val="center"/>
          </w:tcPr>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产品具有接收、传输火警、故障、监管、反馈、复位等信息；</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产品具有手动报警功能； </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工作电压:AC220V,50Hz;</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电池节数：1节</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单节电池容量：12V，4.5Ah；</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具有声音和显示屏体现查岗状态及结果。</w:t>
            </w:r>
          </w:p>
          <w:p>
            <w:pPr>
              <w:pStyle w:val="89"/>
              <w:numPr>
                <w:ilvl w:val="0"/>
                <w:numId w:val="11"/>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▲产品需提供符合国家标准（GB26875.1-2011）的消防产品认证证书及型式试验检验报告</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台</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5</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室内智能无线压力采集设备</w:t>
            </w:r>
          </w:p>
        </w:tc>
        <w:tc>
          <w:tcPr>
            <w:tcW w:w="3296" w:type="pct"/>
            <w:noWrap w:val="0"/>
            <w:vAlign w:val="center"/>
          </w:tcPr>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供电方式：DC3.6V 锂电池供电 </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监测量程：默认 0-1.6Mpa（可选）</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监测精度：±0.5%（最大量程）</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无线通信方式：NB-IOT、4G </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工作温度：-20℃～﹢60℃ </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采样速率：60秒／次，可选（可设定） </w:t>
            </w:r>
            <w:r>
              <w:rPr>
                <w:rFonts w:hint="eastAsia" w:ascii="仿宋" w:hAnsi="仿宋" w:eastAsia="仿宋" w:cs="仿宋"/>
                <w:color w:val="auto"/>
                <w:sz w:val="18"/>
                <w:szCs w:val="18"/>
                <w:highlight w:val="none"/>
              </w:rPr>
              <w:br w:type="textWrapping"/>
            </w:r>
            <w:r>
              <w:rPr>
                <w:rFonts w:hint="eastAsia" w:ascii="仿宋" w:hAnsi="仿宋" w:eastAsia="仿宋" w:cs="仿宋"/>
                <w:color w:val="auto"/>
                <w:sz w:val="18"/>
                <w:szCs w:val="18"/>
                <w:highlight w:val="none"/>
              </w:rPr>
              <w:t>上传速率：30分钟/次，可选（可设定），变化率超过设定阈值及时上传 液位变化率：默认50%（当水位值发送变化 超过设定百分比时及时上传）</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告警方式：高、低压力，电压低、丢失告警</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测量介质：油、水，气等无腐蚀介质存储条件</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工作环境：温度（-40~80℃)，湿度（0~95%RH)</w:t>
            </w:r>
          </w:p>
          <w:p>
            <w:pPr>
              <w:pStyle w:val="89"/>
              <w:numPr>
                <w:ilvl w:val="0"/>
                <w:numId w:val="12"/>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其他功能：蓝牙数据传输与升级；未上传数据存储</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只</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6</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室外消火栓无线压力计</w:t>
            </w:r>
          </w:p>
        </w:tc>
        <w:tc>
          <w:tcPr>
            <w:tcW w:w="3296" w:type="pct"/>
            <w:noWrap w:val="0"/>
            <w:vAlign w:val="center"/>
          </w:tcPr>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安装方式：支持法兰＋抱箍；</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采样速率：3秒/次</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上发速率：30分钟~1440分钟（可设置）</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报警点设置：高压/低压/波动压</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数据配置：按键配置/蓝牙配置/远程配置</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通信方式：GPRS、NB-IOT、4G，低功耗蓝牙(BLE)近场通信；</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供电方式：3.6V锂电池；</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压力指标：量程0-2.5MPa</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精度等级：1%</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稳定性：±0.25%FS/年</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安装接口：G1/2管螺纹</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工作环境：温度：-40~80℃，湿度&lt;95%RH</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防护等级：IP66</w:t>
            </w:r>
          </w:p>
          <w:p>
            <w:pPr>
              <w:pStyle w:val="89"/>
              <w:numPr>
                <w:ilvl w:val="0"/>
                <w:numId w:val="13"/>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电气保护：抗电磁干扰</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台</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7</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物联网多信号采集终端</w:t>
            </w:r>
          </w:p>
        </w:tc>
        <w:tc>
          <w:tcPr>
            <w:tcW w:w="3296" w:type="pct"/>
            <w:noWrap w:val="0"/>
            <w:vAlign w:val="center"/>
          </w:tcPr>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应至少支持8路开关量输入、8路模拟量输入、4路开关量输出、1路RS232配置端口； </w:t>
            </w:r>
          </w:p>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可通过扩展板扩展为16路继电器输出信号；16路模拟量信号，8路无源开关量输入信号； </w:t>
            </w:r>
          </w:p>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应支持无线4G全网通网络和有线以太网络连到平台，支持APN功能；</w:t>
            </w:r>
          </w:p>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应至少支持4路控制输出接口；</w:t>
            </w:r>
          </w:p>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应具有采集、传输和控制3种功能；</w:t>
            </w:r>
          </w:p>
          <w:p>
            <w:pPr>
              <w:pStyle w:val="89"/>
              <w:numPr>
                <w:ilvl w:val="0"/>
                <w:numId w:val="14"/>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▲产品需提供第三方专业检测机构出具的检测报告。</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台</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8</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智能电子巡查标签</w:t>
            </w:r>
          </w:p>
        </w:tc>
        <w:tc>
          <w:tcPr>
            <w:tcW w:w="3296" w:type="pct"/>
            <w:noWrap w:val="0"/>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支持手机小程序直接读写； </w:t>
            </w:r>
          </w:p>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高读写次数，适用于各类工作环境； </w:t>
            </w:r>
          </w:p>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用于巡检、巡更、检查等业务应用。</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张</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9</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气体压力监测传感器</w:t>
            </w:r>
          </w:p>
        </w:tc>
        <w:tc>
          <w:tcPr>
            <w:tcW w:w="3296" w:type="pct"/>
            <w:noWrap w:val="0"/>
            <w:vAlign w:val="center"/>
          </w:tcPr>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量程：0～10…35Mpa</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过载压力：1.5倍的额定压力</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破坏压力：3.0倍的额定压力(最大至100Mpa)</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精度：±1.0%FS</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稳定性：&lt;0.3%FS/年</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工作温度：－10～60℃</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存储温度：－20～70℃</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介质：与304不锈钢兼容的气体或液体</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输出信号：RS-485（最多128路@500米）</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供电电源：10～30VDC</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绝缘电阻：＞20MΩ@100VDC</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防护等级：IP67</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压力螺纹接口：M10*1</w:t>
            </w:r>
          </w:p>
          <w:p>
            <w:pPr>
              <w:pStyle w:val="89"/>
              <w:numPr>
                <w:ilvl w:val="0"/>
                <w:numId w:val="15"/>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响应时间：10ms</w:t>
            </w:r>
          </w:p>
          <w:p>
            <w:pPr>
              <w:pStyle w:val="89"/>
              <w:numPr>
                <w:ilvl w:val="0"/>
                <w:numId w:val="15"/>
              </w:numPr>
              <w:ind w:left="252" w:hanging="309" w:firstLineChars="0"/>
              <w:rPr>
                <w:rFonts w:hint="eastAsia"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压力形</w:t>
            </w:r>
            <w:r>
              <w:rPr>
                <w:rFonts w:hint="eastAsia" w:ascii="仿宋" w:hAnsi="仿宋" w:eastAsia="仿宋" w:cs="仿宋"/>
                <w:color w:val="auto"/>
                <w:kern w:val="0"/>
                <w:sz w:val="18"/>
                <w:szCs w:val="18"/>
                <w:highlight w:val="none"/>
              </w:rPr>
              <w:t>式：密封压S</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只</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589" w:type="pct"/>
            <w:noWrap/>
            <w:vAlign w:val="center"/>
          </w:tcPr>
          <w:p>
            <w:pP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人员监测、可视对讲摄像机</w:t>
            </w:r>
          </w:p>
        </w:tc>
        <w:tc>
          <w:tcPr>
            <w:tcW w:w="3296" w:type="pct"/>
            <w:noWrap w:val="0"/>
            <w:vAlign w:val="center"/>
          </w:tcPr>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内置GPU芯片。</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红外补光距离不小于60米。</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支持亮度异常、清晰度异常、花屏、雪花、偏色、画面冻结、增益失衡、画面抖动、条纹干扰、信号丢失、视频遮挡、光晕、紫边等故障报警功能。</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功能需支持双向统计客流量及统计重复客流数量，并将统计结果实时叠加在监控画面上。</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▲支持离岗检测功能，可设置最小在岗人数和离岗时间的报警阈值。当在岗人数小于设定值且持续时间达到设定的离岗时间阈值时，可触发报警。（须提供</w:t>
            </w:r>
            <w:r>
              <w:rPr>
                <w:rFonts w:hint="eastAsia" w:ascii="仿宋" w:hAnsi="仿宋" w:eastAsia="仿宋" w:cs="仿宋"/>
                <w:color w:val="auto"/>
                <w:sz w:val="18"/>
                <w:szCs w:val="18"/>
                <w:highlight w:val="none"/>
                <w:lang w:val="en-US" w:eastAsia="zh-CN"/>
              </w:rPr>
              <w:t>CMA或CNAS认证的</w:t>
            </w:r>
            <w:r>
              <w:rPr>
                <w:rFonts w:hint="eastAsia" w:ascii="仿宋" w:hAnsi="仿宋" w:eastAsia="仿宋" w:cs="仿宋"/>
                <w:color w:val="auto"/>
                <w:sz w:val="18"/>
                <w:szCs w:val="18"/>
                <w:highlight w:val="none"/>
              </w:rPr>
              <w:t>第三方专业机构的检验报告证明）</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需支持热度图功能，支持最多8个区域某时间段内的人员密度通过不同颜色显示，可设置生成空间和时间两张热度图进行显示，并支持查询和导出查询结果。</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需支持区域人数检测报警功能，可设置报警阈值人数，当检测区域内的人员数量大于阈值、小于阈值、等于阈值或不等于阈值时，可触发报警功能。</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需支持区域人员停留时长报警功能，当检测区域内的人员停留时长大于设定的阈值时长时，可触发报警功能。</w:t>
            </w:r>
          </w:p>
          <w:p>
            <w:pPr>
              <w:pStyle w:val="89"/>
              <w:numPr>
                <w:ilvl w:val="0"/>
                <w:numId w:val="16"/>
              </w:numPr>
              <w:ind w:left="252" w:hanging="309"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需支持目标过滤功能，支持设置目标过滤条件，包括目标大小、目标位</w:t>
            </w:r>
            <w:r>
              <w:rPr>
                <w:rFonts w:hint="eastAsia" w:ascii="仿宋" w:hAnsi="仿宋" w:eastAsia="仿宋" w:cs="仿宋"/>
                <w:color w:val="auto"/>
                <w:sz w:val="18"/>
                <w:szCs w:val="18"/>
                <w:highlight w:val="none"/>
                <w:lang w:val="en-US" w:eastAsia="zh-CN"/>
              </w:rPr>
              <w:t>W</w:t>
            </w:r>
            <w:r>
              <w:rPr>
                <w:rFonts w:hint="eastAsia" w:ascii="仿宋" w:hAnsi="仿宋" w:eastAsia="仿宋" w:cs="仿宋"/>
                <w:color w:val="auto"/>
                <w:sz w:val="18"/>
                <w:szCs w:val="18"/>
                <w:highlight w:val="none"/>
              </w:rPr>
              <w:t>移、最短等待时长和置信度。</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只</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67"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11</w:t>
            </w:r>
          </w:p>
        </w:tc>
        <w:tc>
          <w:tcPr>
            <w:tcW w:w="589" w:type="pct"/>
            <w:noWrap/>
            <w:vAlign w:val="center"/>
          </w:tcPr>
          <w:p>
            <w:pP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探测绝缘性能式（阻性）电气火灾监控探测器</w:t>
            </w:r>
          </w:p>
        </w:tc>
        <w:tc>
          <w:tcPr>
            <w:tcW w:w="3296" w:type="pct"/>
            <w:noWrap w:val="0"/>
            <w:vAlign w:val="center"/>
          </w:tcPr>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检测容量 配电线路：4CH 单相、三相4线</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检测方式：剩余电流Io方式、阻性漏电Ior方式</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漏电检测范围： 0mA～1000mA</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漏电报警：(95%～105%)×报警设定值</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无线通讯功能：4G，LTE，CAT1制式，支持移动、联通、电信</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RS485通讯功能（Modbus）地址范围:1～253(地址可扩展：地址+253,地址范围1～506)</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电源：AC220V， 50Hz</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功耗：小于10W</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工作环境：室内用-10～+40℃，相对湿度90%以下（无结露）</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保存环境：-20℃～+55℃、相对湿度90％以下</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电流互感器：对插式φ16～φ106mm，圆形φ25～φ200mm多种规格可选</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产品具备滤除因变频设备等谐波源类负载造成的线路及配电系统正常泄漏电流的功能，且可以单独显示滤除后的漏电值</w:t>
            </w:r>
          </w:p>
          <w:p>
            <w:pPr>
              <w:pStyle w:val="89"/>
              <w:numPr>
                <w:ilvl w:val="0"/>
                <w:numId w:val="17"/>
              </w:numPr>
              <w:ind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▲产品需提供“国家消防电子产品检验监督中心”出具的型式检验报告及消防产品认证证书。</w:t>
            </w:r>
          </w:p>
        </w:tc>
        <w:tc>
          <w:tcPr>
            <w:tcW w:w="339"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台</w:t>
            </w:r>
          </w:p>
        </w:tc>
        <w:tc>
          <w:tcPr>
            <w:tcW w:w="406" w:type="pct"/>
            <w:noWrap/>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w:t>
            </w:r>
          </w:p>
        </w:tc>
      </w:tr>
    </w:tbl>
    <w:p>
      <w:pPr>
        <w:spacing w:line="440" w:lineRule="exact"/>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售后服务要求</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本项目的所有设备类免费保修期限不少于两年；软件系统运维免费质保期限不少于两年（从项目验收合格之日起计）。同时针对项目对指导性响应、远程网络响应、赴现场响应时间做出承诺。</w:t>
      </w:r>
    </w:p>
    <w:p>
      <w:pPr>
        <w:spacing w:line="440" w:lineRule="exact"/>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付款方式</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抗疫期间，按《浙江省财政厅关于坚决打赢疫情防控阻击战进一步做好政府采购资金支持企业发展工作的通知》（浙财采监〔2020〕3号）和《浙江省财政厅关于进一步发挥政府采购政策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jc w:val="lef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其他要求</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1、支持达到互联互通四级甲等及电子病历五级信息建设要求，须每年提供相关操作文档包括开发文档及数据采集相关材料。</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2、维保期内未涉及产品框架改造，中标方应按医院业务需求修改，不收取任何费用。</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3、该系统免费开放接口供其它系统使用及认证；针对与集成平台对接应承诺不收取任何费用；中标方提供免费接口供其它系统使用及认证并承担与本软件相关的His等相关医院信息系统接口费用。</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4、系统应符合应用系统等保要求。</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5、此项目实施过程中所产生的一切实施费用均由中标方承担。</w:t>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pStyle w:val="282"/>
        <w:jc w:val="center"/>
        <w:rPr>
          <w:rFonts w:hint="eastAsia" w:ascii="仿宋" w:hAnsi="仿宋" w:eastAsia="仿宋" w:cs="仿宋"/>
          <w:color w:val="auto"/>
          <w:szCs w:val="24"/>
          <w:highlight w:val="none"/>
        </w:rPr>
      </w:pPr>
    </w:p>
    <w:p>
      <w:pPr>
        <w:pStyle w:val="28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1"/>
        <w:spacing w:before="120" w:line="22" w:lineRule="atLeast"/>
        <w:rPr>
          <w:rFonts w:hint="eastAsia" w:ascii="仿宋" w:hAnsi="仿宋" w:eastAsia="仿宋" w:cs="仿宋"/>
          <w:color w:val="auto"/>
          <w:szCs w:val="24"/>
          <w:highlight w:val="none"/>
        </w:rPr>
      </w:pPr>
    </w:p>
    <w:p>
      <w:pPr>
        <w:pStyle w:val="281"/>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4" w:name="_Toc3029"/>
      <w:bookmarkStart w:id="15" w:name="_Toc2232"/>
      <w:bookmarkStart w:id="16" w:name="_Toc24059"/>
      <w:r>
        <w:rPr>
          <w:rFonts w:hint="eastAsia" w:ascii="仿宋" w:hAnsi="仿宋" w:eastAsia="仿宋" w:cs="仿宋"/>
          <w:b/>
          <w:color w:val="auto"/>
          <w:sz w:val="24"/>
          <w:highlight w:val="none"/>
        </w:rPr>
        <w:t>1.1 合同组成部分</w:t>
      </w:r>
      <w:bookmarkEnd w:id="14"/>
      <w:bookmarkEnd w:id="15"/>
      <w:bookmarkEnd w:id="1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7" w:name="_Toc21295"/>
      <w:bookmarkStart w:id="18" w:name="_Toc24300"/>
      <w:bookmarkStart w:id="19" w:name="_Toc27126"/>
      <w:r>
        <w:rPr>
          <w:rFonts w:hint="eastAsia" w:ascii="仿宋" w:hAnsi="仿宋" w:eastAsia="仿宋" w:cs="仿宋"/>
          <w:b/>
          <w:color w:val="auto"/>
          <w:sz w:val="24"/>
          <w:highlight w:val="none"/>
        </w:rPr>
        <w:t>1.2 货物</w:t>
      </w:r>
      <w:bookmarkEnd w:id="17"/>
      <w:bookmarkEnd w:id="18"/>
      <w:bookmarkEnd w:id="19"/>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20" w:name="_Toc21551"/>
      <w:bookmarkStart w:id="21" w:name="_Toc21631"/>
      <w:bookmarkStart w:id="22" w:name="_Toc23292"/>
      <w:r>
        <w:rPr>
          <w:rFonts w:hint="eastAsia" w:ascii="仿宋" w:hAnsi="仿宋" w:eastAsia="仿宋" w:cs="仿宋"/>
          <w:b/>
          <w:color w:val="auto"/>
          <w:sz w:val="24"/>
          <w:highlight w:val="none"/>
        </w:rPr>
        <w:t>1.3 价款</w:t>
      </w:r>
      <w:bookmarkEnd w:id="20"/>
      <w:bookmarkEnd w:id="21"/>
      <w:bookmarkEnd w:id="2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3" w:name="_Toc22618"/>
      <w:bookmarkStart w:id="24" w:name="_Toc10340"/>
      <w:bookmarkStart w:id="25" w:name="_Toc1814"/>
      <w:r>
        <w:rPr>
          <w:rFonts w:hint="eastAsia" w:ascii="仿宋" w:hAnsi="仿宋" w:eastAsia="仿宋" w:cs="仿宋"/>
          <w:b/>
          <w:color w:val="auto"/>
          <w:sz w:val="24"/>
          <w:highlight w:val="none"/>
        </w:rPr>
        <w:t>1.4 付款</w:t>
      </w:r>
      <w:bookmarkEnd w:id="23"/>
      <w:bookmarkEnd w:id="24"/>
      <w:bookmarkEnd w:id="25"/>
      <w:r>
        <w:rPr>
          <w:rFonts w:hint="eastAsia" w:ascii="仿宋" w:hAnsi="仿宋" w:eastAsia="仿宋" w:cs="仿宋"/>
          <w:b/>
          <w:color w:val="auto"/>
          <w:sz w:val="24"/>
          <w:highlight w:val="none"/>
        </w:rPr>
        <w:t>方式、时间和条件</w:t>
      </w:r>
    </w:p>
    <w:p>
      <w:pPr>
        <w:pStyle w:val="283"/>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26" w:name="_Toc2846"/>
      <w:bookmarkStart w:id="27" w:name="_Toc32071"/>
      <w:bookmarkStart w:id="28" w:name="_Toc19304"/>
      <w:r>
        <w:rPr>
          <w:rFonts w:hint="eastAsia" w:ascii="仿宋" w:hAnsi="仿宋" w:eastAsia="仿宋" w:cs="仿宋"/>
          <w:b/>
          <w:color w:val="auto"/>
          <w:sz w:val="24"/>
          <w:highlight w:val="none"/>
        </w:rPr>
        <w:t>1.5 货物交付期限、地点和方式</w:t>
      </w:r>
      <w:bookmarkEnd w:id="26"/>
      <w:bookmarkEnd w:id="27"/>
      <w:bookmarkEnd w:id="28"/>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29" w:name="_Toc21423"/>
      <w:bookmarkStart w:id="30" w:name="_Toc19554"/>
      <w:bookmarkStart w:id="31" w:name="_Toc27250"/>
      <w:r>
        <w:rPr>
          <w:rFonts w:hint="eastAsia" w:ascii="仿宋" w:hAnsi="仿宋" w:eastAsia="仿宋" w:cs="仿宋"/>
          <w:b/>
          <w:color w:val="auto"/>
          <w:sz w:val="24"/>
          <w:highlight w:val="none"/>
        </w:rPr>
        <w:t>1.6 违约责任</w:t>
      </w:r>
      <w:bookmarkEnd w:id="29"/>
      <w:bookmarkEnd w:id="30"/>
      <w:bookmarkEnd w:id="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32" w:name="_Toc28375"/>
      <w:bookmarkStart w:id="33" w:name="_Toc15583"/>
      <w:bookmarkStart w:id="34" w:name="_Toc16021"/>
      <w:r>
        <w:rPr>
          <w:rFonts w:hint="eastAsia" w:ascii="仿宋" w:hAnsi="仿宋" w:eastAsia="仿宋" w:cs="仿宋"/>
          <w:b/>
          <w:color w:val="auto"/>
          <w:sz w:val="24"/>
          <w:highlight w:val="none"/>
        </w:rPr>
        <w:t>1.7 合同争议的解决</w:t>
      </w:r>
      <w:bookmarkEnd w:id="32"/>
      <w:bookmarkEnd w:id="33"/>
      <w:bookmarkEnd w:id="34"/>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5" w:name="_Toc15322"/>
      <w:bookmarkStart w:id="36" w:name="_Toc7245"/>
      <w:bookmarkStart w:id="37" w:name="_Toc11173"/>
      <w:r>
        <w:rPr>
          <w:rFonts w:hint="eastAsia" w:ascii="仿宋" w:hAnsi="仿宋" w:eastAsia="仿宋" w:cs="仿宋"/>
          <w:b/>
          <w:color w:val="auto"/>
          <w:sz w:val="24"/>
          <w:highlight w:val="none"/>
        </w:rPr>
        <w:t>1.8 合同生效</w:t>
      </w:r>
      <w:bookmarkEnd w:id="35"/>
      <w:bookmarkEnd w:id="36"/>
      <w:bookmarkEnd w:id="37"/>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rPr>
          <w:rFonts w:hint="eastAsia" w:ascii="仿宋" w:hAnsi="仿宋" w:eastAsia="仿宋" w:cs="仿宋"/>
          <w:color w:val="auto"/>
          <w:sz w:val="24"/>
          <w:highlight w:val="none"/>
          <w:u w:val="single"/>
        </w:rPr>
      </w:pPr>
    </w:p>
    <w:p>
      <w:pPr>
        <w:pStyle w:val="282"/>
        <w:pageBreakBefore/>
        <w:spacing w:line="560" w:lineRule="exact"/>
        <w:ind w:firstLine="723"/>
        <w:jc w:val="center"/>
        <w:rPr>
          <w:rFonts w:hint="eastAsia" w:ascii="仿宋" w:hAnsi="仿宋" w:eastAsia="仿宋" w:cs="仿宋"/>
          <w:b/>
          <w:color w:val="auto"/>
          <w:sz w:val="36"/>
          <w:szCs w:val="36"/>
          <w:highlight w:val="none"/>
        </w:rPr>
      </w:pPr>
      <w:bookmarkStart w:id="38" w:name="_Toc331685783"/>
      <w:r>
        <w:rPr>
          <w:rFonts w:hint="eastAsia" w:ascii="仿宋" w:hAnsi="仿宋" w:eastAsia="仿宋" w:cs="仿宋"/>
          <w:b/>
          <w:color w:val="auto"/>
          <w:sz w:val="36"/>
          <w:szCs w:val="36"/>
          <w:highlight w:val="none"/>
        </w:rPr>
        <w:t>第二部分合同一般条款</w:t>
      </w:r>
      <w:bookmarkEnd w:id="38"/>
    </w:p>
    <w:p>
      <w:pPr>
        <w:spacing w:line="560" w:lineRule="exact"/>
        <w:ind w:firstLine="482" w:firstLineChars="200"/>
        <w:outlineLvl w:val="0"/>
        <w:rPr>
          <w:rFonts w:hint="eastAsia" w:ascii="仿宋" w:hAnsi="仿宋" w:eastAsia="仿宋" w:cs="仿宋"/>
          <w:b/>
          <w:color w:val="auto"/>
          <w:sz w:val="24"/>
          <w:highlight w:val="none"/>
        </w:rPr>
      </w:pPr>
      <w:bookmarkStart w:id="39" w:name="_Ref467378499"/>
      <w:bookmarkStart w:id="40" w:name="_Ref467379195"/>
      <w:bookmarkStart w:id="41" w:name="_Ref467379109"/>
      <w:bookmarkStart w:id="42" w:name="_Toc487900349"/>
      <w:bookmarkStart w:id="43" w:name="_Toc28763"/>
      <w:bookmarkStart w:id="44" w:name="_Ref467379225"/>
      <w:bookmarkStart w:id="45" w:name="_Toc259093669"/>
      <w:bookmarkStart w:id="46" w:name="_Ref467379094"/>
      <w:bookmarkStart w:id="47" w:name="_Ref467378463"/>
      <w:bookmarkStart w:id="48" w:name="_Ref467379214"/>
      <w:bookmarkStart w:id="49" w:name="_Toc19614"/>
      <w:bookmarkStart w:id="50" w:name="_Toc16917"/>
      <w:bookmarkStart w:id="51" w:name="_Ref467379101"/>
      <w:bookmarkStart w:id="52" w:name="_Ref467379205"/>
      <w:bookmarkStart w:id="53" w:name="_Ref467378404"/>
      <w:bookmarkStart w:id="54" w:name="_Toc279701240"/>
      <w:r>
        <w:rPr>
          <w:rFonts w:hint="eastAsia" w:ascii="仿宋" w:hAnsi="仿宋" w:eastAsia="仿宋" w:cs="仿宋"/>
          <w:b/>
          <w:color w:val="auto"/>
          <w:sz w:val="24"/>
          <w:highlight w:val="none"/>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5" w:name="_Ref467378840"/>
      <w:r>
        <w:rPr>
          <w:rFonts w:hint="eastAsia" w:ascii="仿宋" w:hAnsi="仿宋" w:eastAsia="仿宋" w:cs="仿宋"/>
          <w:color w:val="auto"/>
          <w:sz w:val="24"/>
          <w:highlight w:val="none"/>
        </w:rPr>
        <w:t>2.1.4 “甲方”系指与中标供应商签署合同的采购人</w:t>
      </w:r>
      <w:bookmarkEnd w:id="55"/>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6" w:name="_Ref467379400"/>
      <w:r>
        <w:rPr>
          <w:rFonts w:hint="eastAsia" w:ascii="仿宋" w:hAnsi="仿宋" w:eastAsia="仿宋" w:cs="仿宋"/>
          <w:color w:val="auto"/>
          <w:sz w:val="24"/>
          <w:highlight w:val="none"/>
        </w:rPr>
        <w:t>2.1.5 “乙方”系指根据合同约定交付货物的中标供应商</w:t>
      </w:r>
      <w:bookmarkEnd w:id="56"/>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7" w:name="_Ref467379436"/>
      <w:r>
        <w:rPr>
          <w:rFonts w:hint="eastAsia" w:ascii="仿宋" w:hAnsi="仿宋" w:eastAsia="仿宋" w:cs="仿宋"/>
          <w:color w:val="auto"/>
          <w:sz w:val="24"/>
          <w:highlight w:val="none"/>
        </w:rPr>
        <w:t>2.1.6 “现场”系指合同约定货物将要运至或者安装的地点。</w:t>
      </w:r>
      <w:bookmarkEnd w:id="57"/>
    </w:p>
    <w:p>
      <w:pPr>
        <w:spacing w:line="560" w:lineRule="exact"/>
        <w:ind w:firstLine="482" w:firstLineChars="200"/>
        <w:outlineLvl w:val="0"/>
        <w:rPr>
          <w:rFonts w:hint="eastAsia" w:ascii="仿宋" w:hAnsi="仿宋" w:eastAsia="仿宋" w:cs="仿宋"/>
          <w:b/>
          <w:color w:val="auto"/>
          <w:sz w:val="24"/>
          <w:highlight w:val="none"/>
        </w:rPr>
      </w:pPr>
      <w:bookmarkStart w:id="58" w:name="_Toc259093670"/>
      <w:bookmarkStart w:id="59" w:name="_Toc487900350"/>
      <w:bookmarkStart w:id="60" w:name="_Toc32504"/>
      <w:bookmarkStart w:id="61" w:name="_Toc279701241"/>
      <w:bookmarkStart w:id="62" w:name="_Toc13336"/>
      <w:bookmarkStart w:id="63" w:name="_Toc27635"/>
      <w:r>
        <w:rPr>
          <w:rFonts w:hint="eastAsia" w:ascii="仿宋" w:hAnsi="仿宋" w:eastAsia="仿宋" w:cs="仿宋"/>
          <w:b/>
          <w:color w:val="auto"/>
          <w:sz w:val="24"/>
          <w:highlight w:val="none"/>
        </w:rPr>
        <w:t>2.2 技术规范</w:t>
      </w:r>
      <w:bookmarkEnd w:id="58"/>
      <w:bookmarkEnd w:id="59"/>
      <w:bookmarkEnd w:id="60"/>
      <w:bookmarkEnd w:id="61"/>
      <w:bookmarkEnd w:id="62"/>
      <w:bookmarkEnd w:id="6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4" w:name="_Toc487900351"/>
      <w:bookmarkStart w:id="65" w:name="_Toc31634"/>
      <w:bookmarkStart w:id="66" w:name="_Toc279701242"/>
      <w:bookmarkStart w:id="67" w:name="_Toc27853"/>
      <w:bookmarkStart w:id="68" w:name="_Toc9829"/>
      <w:bookmarkStart w:id="69" w:name="_Toc259093671"/>
      <w:r>
        <w:rPr>
          <w:rFonts w:hint="eastAsia" w:ascii="仿宋" w:hAnsi="仿宋" w:eastAsia="仿宋" w:cs="仿宋"/>
          <w:b/>
          <w:color w:val="auto"/>
          <w:sz w:val="24"/>
          <w:highlight w:val="none"/>
        </w:rPr>
        <w:t>2.3 知识产权</w:t>
      </w:r>
      <w:bookmarkEnd w:id="64"/>
      <w:bookmarkEnd w:id="65"/>
      <w:bookmarkEnd w:id="66"/>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Toc11932"/>
      <w:bookmarkStart w:id="71" w:name="_Toc29149"/>
      <w:bookmarkStart w:id="72" w:name="_Toc4194"/>
      <w:r>
        <w:rPr>
          <w:rFonts w:hint="eastAsia" w:ascii="仿宋" w:hAnsi="仿宋" w:eastAsia="仿宋" w:cs="仿宋"/>
          <w:b/>
          <w:color w:val="auto"/>
          <w:sz w:val="24"/>
          <w:highlight w:val="none"/>
        </w:rPr>
        <w:t>2.4 包装和装运</w:t>
      </w:r>
      <w:bookmarkEnd w:id="70"/>
      <w:bookmarkEnd w:id="71"/>
      <w:bookmarkEnd w:id="7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3" w:name="_Toc487900354"/>
      <w:bookmarkStart w:id="74" w:name="_Toc259093674"/>
      <w:bookmarkStart w:id="75" w:name="_Ref467379542"/>
      <w:bookmarkStart w:id="76" w:name="_Ref467379536"/>
      <w:bookmarkStart w:id="77" w:name="_Ref467378541"/>
      <w:bookmarkStart w:id="78" w:name="_Ref467378591"/>
      <w:bookmarkStart w:id="79" w:name="_Ref467379527"/>
      <w:bookmarkStart w:id="80" w:name="_Toc279701245"/>
      <w:bookmarkStart w:id="81" w:name="_Toc19074"/>
      <w:bookmarkStart w:id="82" w:name="_Toc30272"/>
      <w:bookmarkStart w:id="83" w:name="_Toc26182"/>
      <w:r>
        <w:rPr>
          <w:rFonts w:hint="eastAsia" w:ascii="仿宋" w:hAnsi="仿宋" w:eastAsia="仿宋" w:cs="仿宋"/>
          <w:b/>
          <w:color w:val="auto"/>
          <w:sz w:val="24"/>
          <w:highlight w:val="none"/>
        </w:rPr>
        <w:t>2.</w:t>
      </w:r>
      <w:bookmarkEnd w:id="73"/>
      <w:bookmarkEnd w:id="74"/>
      <w:bookmarkEnd w:id="75"/>
      <w:bookmarkEnd w:id="76"/>
      <w:bookmarkEnd w:id="77"/>
      <w:bookmarkEnd w:id="78"/>
      <w:bookmarkEnd w:id="79"/>
      <w:bookmarkEnd w:id="80"/>
      <w:r>
        <w:rPr>
          <w:rFonts w:hint="eastAsia" w:ascii="仿宋" w:hAnsi="仿宋" w:eastAsia="仿宋" w:cs="仿宋"/>
          <w:b/>
          <w:color w:val="auto"/>
          <w:sz w:val="24"/>
          <w:highlight w:val="none"/>
        </w:rPr>
        <w:t>5 履约检查和问题反馈</w:t>
      </w:r>
      <w:bookmarkEnd w:id="81"/>
      <w:bookmarkEnd w:id="82"/>
      <w:bookmarkEnd w:id="83"/>
    </w:p>
    <w:p>
      <w:pPr>
        <w:spacing w:line="560" w:lineRule="exact"/>
        <w:ind w:firstLine="480" w:firstLineChars="200"/>
        <w:rPr>
          <w:rFonts w:hint="eastAsia" w:ascii="仿宋" w:hAnsi="仿宋" w:eastAsia="仿宋" w:cs="仿宋"/>
          <w:color w:val="auto"/>
          <w:sz w:val="24"/>
          <w:highlight w:val="none"/>
        </w:rPr>
      </w:pPr>
      <w:bookmarkStart w:id="84" w:name="_Ref467379657"/>
      <w:r>
        <w:rPr>
          <w:rFonts w:hint="eastAsia" w:ascii="仿宋" w:hAnsi="仿宋" w:eastAsia="仿宋" w:cs="仿宋"/>
          <w:color w:val="auto"/>
          <w:sz w:val="24"/>
          <w:highlight w:val="none"/>
        </w:rPr>
        <w:t>2.5.1</w:t>
      </w:r>
      <w:bookmarkEnd w:id="84"/>
      <w:bookmarkStart w:id="85" w:name="_Toc186431854"/>
      <w:bookmarkStart w:id="86" w:name="_Toc259093676"/>
      <w:bookmarkStart w:id="87" w:name="_Ref467379807"/>
      <w:bookmarkStart w:id="88" w:name="_Ref467379793"/>
      <w:bookmarkStart w:id="89" w:name="_Toc487900357"/>
      <w:bookmarkStart w:id="90"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color w:val="auto"/>
          <w:sz w:val="24"/>
          <w:highlight w:val="none"/>
        </w:rPr>
        <w:t>。</w:t>
      </w:r>
    </w:p>
    <w:bookmarkEnd w:id="86"/>
    <w:bookmarkEnd w:id="87"/>
    <w:bookmarkEnd w:id="88"/>
    <w:bookmarkEnd w:id="89"/>
    <w:bookmarkEnd w:id="90"/>
    <w:bookmarkEnd w:id="91"/>
    <w:p>
      <w:pPr>
        <w:spacing w:line="560" w:lineRule="exact"/>
        <w:ind w:firstLine="482" w:firstLineChars="200"/>
        <w:outlineLvl w:val="0"/>
        <w:rPr>
          <w:rFonts w:hint="eastAsia" w:ascii="仿宋" w:hAnsi="仿宋" w:eastAsia="仿宋" w:cs="仿宋"/>
          <w:b/>
          <w:color w:val="auto"/>
          <w:sz w:val="24"/>
          <w:highlight w:val="none"/>
        </w:rPr>
      </w:pPr>
      <w:bookmarkStart w:id="92" w:name="_Ref467379852"/>
      <w:bookmarkStart w:id="93" w:name="_Ref467379863"/>
      <w:bookmarkStart w:id="94" w:name="_Toc487900358"/>
      <w:bookmarkStart w:id="95" w:name="_Ref467379923"/>
      <w:bookmarkStart w:id="96" w:name="_Toc279701248"/>
      <w:bookmarkStart w:id="97" w:name="_Toc259093677"/>
      <w:bookmarkStart w:id="98" w:name="_Toc3225"/>
      <w:bookmarkStart w:id="99" w:name="_Toc16110"/>
      <w:bookmarkStart w:id="100" w:name="_Toc774"/>
      <w:r>
        <w:rPr>
          <w:rFonts w:hint="eastAsia" w:ascii="仿宋" w:hAnsi="仿宋" w:eastAsia="仿宋" w:cs="仿宋"/>
          <w:b/>
          <w:color w:val="auto"/>
          <w:sz w:val="24"/>
          <w:highlight w:val="none"/>
        </w:rPr>
        <w:t>2.6 技术资料</w:t>
      </w:r>
      <w:bookmarkEnd w:id="92"/>
      <w:bookmarkEnd w:id="93"/>
      <w:bookmarkEnd w:id="94"/>
      <w:bookmarkEnd w:id="95"/>
      <w:bookmarkEnd w:id="96"/>
      <w:bookmarkEnd w:id="97"/>
      <w:r>
        <w:rPr>
          <w:rFonts w:hint="eastAsia" w:ascii="仿宋" w:hAnsi="仿宋" w:eastAsia="仿宋" w:cs="仿宋"/>
          <w:b/>
          <w:color w:val="auto"/>
          <w:sz w:val="24"/>
          <w:highlight w:val="none"/>
        </w:rPr>
        <w:t>和保密义务</w:t>
      </w:r>
      <w:bookmarkEnd w:id="98"/>
      <w:bookmarkEnd w:id="99"/>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1" w:name="_Toc7860"/>
      <w:r>
        <w:rPr>
          <w:rFonts w:hint="eastAsia" w:ascii="仿宋" w:hAnsi="仿宋" w:eastAsia="仿宋" w:cs="仿宋"/>
          <w:b/>
          <w:color w:val="auto"/>
          <w:sz w:val="24"/>
          <w:highlight w:val="none"/>
        </w:rPr>
        <w:t>2.7 质量保证</w:t>
      </w:r>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2" w:name="_Toc17244"/>
      <w:bookmarkStart w:id="103" w:name="_Toc279701252"/>
      <w:bookmarkStart w:id="104" w:name="_Toc487900362"/>
      <w:bookmarkStart w:id="105" w:name="_Toc259093681"/>
      <w:r>
        <w:rPr>
          <w:rFonts w:hint="eastAsia" w:ascii="仿宋" w:hAnsi="仿宋" w:eastAsia="仿宋" w:cs="仿宋"/>
          <w:b/>
          <w:color w:val="auto"/>
          <w:sz w:val="24"/>
          <w:highlight w:val="none"/>
        </w:rPr>
        <w:t>2.8 货物的风险负担</w:t>
      </w:r>
      <w:bookmarkEnd w:id="102"/>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6" w:name="_Toc14055"/>
      <w:r>
        <w:rPr>
          <w:rFonts w:hint="eastAsia" w:ascii="仿宋" w:hAnsi="仿宋" w:eastAsia="仿宋" w:cs="仿宋"/>
          <w:b/>
          <w:color w:val="auto"/>
          <w:sz w:val="24"/>
          <w:highlight w:val="none"/>
        </w:rPr>
        <w:t>2.9 延迟交货</w:t>
      </w:r>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7" w:name="_Toc7502"/>
      <w:bookmarkStart w:id="108" w:name="_Ref467378121"/>
      <w:bookmarkStart w:id="109" w:name="_Toc279701254"/>
      <w:bookmarkStart w:id="110" w:name="_Toc259093683"/>
      <w:bookmarkStart w:id="111" w:name="_Toc487900364"/>
      <w:r>
        <w:rPr>
          <w:rFonts w:hint="eastAsia" w:ascii="仿宋" w:hAnsi="仿宋" w:eastAsia="仿宋" w:cs="仿宋"/>
          <w:b/>
          <w:color w:val="auto"/>
          <w:sz w:val="24"/>
          <w:highlight w:val="none"/>
        </w:rPr>
        <w:t>2.10 合同变更</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487900369"/>
      <w:bookmarkStart w:id="114" w:name="_Toc279701259"/>
    </w:p>
    <w:p>
      <w:pPr>
        <w:spacing w:line="560" w:lineRule="exact"/>
        <w:ind w:firstLine="482" w:firstLineChars="200"/>
        <w:outlineLvl w:val="0"/>
        <w:rPr>
          <w:rFonts w:hint="eastAsia" w:ascii="仿宋" w:hAnsi="仿宋" w:eastAsia="仿宋" w:cs="仿宋"/>
          <w:b/>
          <w:color w:val="auto"/>
          <w:sz w:val="24"/>
          <w:highlight w:val="none"/>
        </w:rPr>
      </w:pPr>
      <w:bookmarkStart w:id="115" w:name="_Toc10366"/>
      <w:bookmarkStart w:id="116" w:name="_Toc22955"/>
      <w:bookmarkStart w:id="117" w:name="_Toc15237"/>
      <w:r>
        <w:rPr>
          <w:rFonts w:hint="eastAsia" w:ascii="仿宋" w:hAnsi="仿宋" w:eastAsia="仿宋" w:cs="仿宋"/>
          <w:b/>
          <w:color w:val="auto"/>
          <w:sz w:val="24"/>
          <w:highlight w:val="none"/>
        </w:rPr>
        <w:t>2.11 合同转让</w:t>
      </w:r>
      <w:bookmarkEnd w:id="112"/>
      <w:bookmarkEnd w:id="113"/>
      <w:bookmarkEnd w:id="114"/>
      <w:r>
        <w:rPr>
          <w:rFonts w:hint="eastAsia" w:ascii="仿宋" w:hAnsi="仿宋" w:eastAsia="仿宋" w:cs="仿宋"/>
          <w:b/>
          <w:color w:val="auto"/>
          <w:sz w:val="24"/>
          <w:highlight w:val="none"/>
        </w:rPr>
        <w:t>和分包</w:t>
      </w:r>
      <w:bookmarkEnd w:id="115"/>
      <w:bookmarkEnd w:id="116"/>
      <w:bookmarkEnd w:id="117"/>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8" w:name="_Toc13566"/>
      <w:bookmarkStart w:id="119" w:name="_Toc14066"/>
      <w:bookmarkStart w:id="120" w:name="_Toc16508"/>
      <w:r>
        <w:rPr>
          <w:rFonts w:hint="eastAsia" w:ascii="仿宋" w:hAnsi="仿宋" w:eastAsia="仿宋" w:cs="仿宋"/>
          <w:b/>
          <w:color w:val="auto"/>
          <w:sz w:val="24"/>
          <w:highlight w:val="none"/>
        </w:rPr>
        <w:t>2.12 不可抗力</w:t>
      </w:r>
      <w:bookmarkEnd w:id="118"/>
      <w:bookmarkEnd w:id="119"/>
      <w:bookmarkEnd w:id="1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1" w:name="_Toc259093684"/>
      <w:bookmarkStart w:id="122" w:name="_Toc30676"/>
      <w:bookmarkStart w:id="123" w:name="_Toc6969"/>
      <w:bookmarkStart w:id="124" w:name="_Toc689"/>
      <w:bookmarkStart w:id="125" w:name="_Toc487900365"/>
      <w:bookmarkStart w:id="126" w:name="_Toc279701255"/>
      <w:r>
        <w:rPr>
          <w:rFonts w:hint="eastAsia" w:ascii="仿宋" w:hAnsi="仿宋" w:eastAsia="仿宋" w:cs="仿宋"/>
          <w:b/>
          <w:color w:val="auto"/>
          <w:sz w:val="24"/>
          <w:highlight w:val="none"/>
        </w:rPr>
        <w:t>2.13 税费</w:t>
      </w:r>
      <w:bookmarkEnd w:id="121"/>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7" w:name="_Toc487900368"/>
      <w:bookmarkStart w:id="128" w:name="_Toc16959"/>
      <w:bookmarkStart w:id="129" w:name="_Toc279701258"/>
      <w:bookmarkStart w:id="130" w:name="_Toc259093687"/>
      <w:bookmarkStart w:id="131" w:name="_Toc8298"/>
      <w:bookmarkStart w:id="132" w:name="_Toc7102"/>
      <w:r>
        <w:rPr>
          <w:rFonts w:hint="eastAsia" w:ascii="仿宋" w:hAnsi="仿宋" w:eastAsia="仿宋" w:cs="仿宋"/>
          <w:b/>
          <w:color w:val="auto"/>
          <w:sz w:val="24"/>
          <w:highlight w:val="none"/>
        </w:rPr>
        <w:t>2.14乙方破产</w:t>
      </w:r>
      <w:bookmarkEnd w:id="127"/>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3" w:name="_Toc6134"/>
      <w:bookmarkStart w:id="134" w:name="_Toc29333"/>
      <w:bookmarkStart w:id="135" w:name="_Toc15387"/>
      <w:r>
        <w:rPr>
          <w:rFonts w:hint="eastAsia" w:ascii="仿宋" w:hAnsi="仿宋" w:eastAsia="仿宋" w:cs="仿宋"/>
          <w:b/>
          <w:color w:val="auto"/>
          <w:sz w:val="24"/>
          <w:highlight w:val="none"/>
        </w:rPr>
        <w:t>2.15 合同中止、终止</w:t>
      </w:r>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6" w:name="_Toc6596"/>
      <w:bookmarkStart w:id="137" w:name="_Toc1125"/>
      <w:bookmarkStart w:id="138" w:name="_Toc14563"/>
      <w:r>
        <w:rPr>
          <w:rFonts w:hint="eastAsia" w:ascii="仿宋" w:hAnsi="仿宋" w:eastAsia="仿宋" w:cs="仿宋"/>
          <w:b/>
          <w:color w:val="auto"/>
          <w:sz w:val="24"/>
          <w:highlight w:val="none"/>
        </w:rPr>
        <w:t>2.16检验和验收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8"/>
    <w:bookmarkEnd w:id="109"/>
    <w:bookmarkEnd w:id="110"/>
    <w:bookmarkEnd w:id="111"/>
    <w:p>
      <w:pPr>
        <w:spacing w:line="560" w:lineRule="exact"/>
        <w:ind w:firstLine="482" w:firstLineChars="200"/>
        <w:outlineLvl w:val="0"/>
        <w:rPr>
          <w:rFonts w:hint="eastAsia" w:ascii="仿宋" w:hAnsi="仿宋" w:eastAsia="仿宋" w:cs="仿宋"/>
          <w:b/>
          <w:color w:val="auto"/>
          <w:sz w:val="24"/>
          <w:highlight w:val="none"/>
        </w:rPr>
      </w:pPr>
      <w:bookmarkStart w:id="139" w:name="_Toc259093690"/>
      <w:bookmarkStart w:id="140" w:name="_Toc279701261"/>
      <w:bookmarkStart w:id="141" w:name="_Toc487900371"/>
      <w:bookmarkStart w:id="142" w:name="_Toc11284"/>
      <w:bookmarkStart w:id="143" w:name="_Toc19604"/>
      <w:bookmarkStart w:id="144" w:name="_Toc25182"/>
      <w:r>
        <w:rPr>
          <w:rFonts w:hint="eastAsia" w:ascii="仿宋" w:hAnsi="仿宋" w:eastAsia="仿宋" w:cs="仿宋"/>
          <w:b/>
          <w:color w:val="auto"/>
          <w:sz w:val="24"/>
          <w:highlight w:val="none"/>
        </w:rPr>
        <w:t>2.17 通知</w:t>
      </w:r>
      <w:bookmarkEnd w:id="139"/>
      <w:bookmarkEnd w:id="140"/>
      <w:bookmarkEnd w:id="141"/>
      <w:r>
        <w:rPr>
          <w:rFonts w:hint="eastAsia" w:ascii="仿宋" w:hAnsi="仿宋" w:eastAsia="仿宋" w:cs="仿宋"/>
          <w:b/>
          <w:color w:val="auto"/>
          <w:sz w:val="24"/>
          <w:highlight w:val="none"/>
        </w:rPr>
        <w:t>和送达</w:t>
      </w:r>
      <w:bookmarkEnd w:id="142"/>
      <w:bookmarkEnd w:id="143"/>
      <w:bookmarkEnd w:id="144"/>
    </w:p>
    <w:p>
      <w:pPr>
        <w:spacing w:line="560" w:lineRule="exact"/>
        <w:ind w:firstLine="480" w:firstLineChars="200"/>
        <w:rPr>
          <w:rFonts w:hint="eastAsia" w:ascii="仿宋" w:hAnsi="仿宋" w:eastAsia="仿宋" w:cs="仿宋"/>
          <w:color w:val="auto"/>
          <w:sz w:val="24"/>
          <w:highlight w:val="none"/>
        </w:rPr>
      </w:pPr>
      <w:bookmarkStart w:id="145" w:name="_Toc3135"/>
      <w:bookmarkStart w:id="146" w:name="_Toc6698"/>
      <w:bookmarkStart w:id="147" w:name="_Toc487900372"/>
      <w:bookmarkStart w:id="148" w:name="_Toc259093691"/>
      <w:bookmarkStart w:id="149"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hint="eastAsia" w:ascii="仿宋" w:hAnsi="仿宋" w:eastAsia="仿宋" w:cs="仿宋"/>
          <w:color w:val="auto"/>
          <w:sz w:val="24"/>
          <w:highlight w:val="none"/>
        </w:rPr>
      </w:pPr>
      <w:bookmarkStart w:id="150" w:name="_Toc23294"/>
      <w:bookmarkStart w:id="151"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hint="eastAsia" w:ascii="仿宋" w:hAnsi="仿宋" w:eastAsia="仿宋" w:cs="仿宋"/>
          <w:b/>
          <w:color w:val="auto"/>
          <w:sz w:val="24"/>
          <w:highlight w:val="none"/>
        </w:rPr>
      </w:pPr>
      <w:bookmarkStart w:id="152" w:name="_Toc4355"/>
      <w:bookmarkStart w:id="153" w:name="_Toc30599"/>
      <w:bookmarkStart w:id="154" w:name="_Toc18540"/>
      <w:r>
        <w:rPr>
          <w:rFonts w:hint="eastAsia" w:ascii="仿宋" w:hAnsi="仿宋" w:eastAsia="仿宋" w:cs="仿宋"/>
          <w:b/>
          <w:color w:val="auto"/>
          <w:sz w:val="24"/>
          <w:highlight w:val="none"/>
        </w:rPr>
        <w:t>2.18 计量单位</w:t>
      </w:r>
      <w:bookmarkEnd w:id="147"/>
      <w:bookmarkEnd w:id="148"/>
      <w:bookmarkEnd w:id="149"/>
      <w:bookmarkEnd w:id="152"/>
      <w:bookmarkEnd w:id="153"/>
      <w:bookmarkEnd w:id="15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5" w:name="_Toc18567"/>
      <w:bookmarkStart w:id="156" w:name="_Toc487900373"/>
      <w:bookmarkStart w:id="157" w:name="_Toc259093692"/>
      <w:bookmarkStart w:id="158" w:name="_Toc10330"/>
      <w:bookmarkStart w:id="159" w:name="_Toc12773"/>
      <w:bookmarkStart w:id="160" w:name="_Toc279701263"/>
      <w:r>
        <w:rPr>
          <w:rFonts w:hint="eastAsia" w:ascii="仿宋" w:hAnsi="仿宋" w:eastAsia="仿宋" w:cs="仿宋"/>
          <w:b/>
          <w:color w:val="auto"/>
          <w:sz w:val="24"/>
          <w:highlight w:val="none"/>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61" w:name="_Toc12004"/>
      <w:bookmarkStart w:id="162" w:name="_Toc259093693"/>
      <w:bookmarkStart w:id="163" w:name="_Toc16673"/>
      <w:bookmarkStart w:id="164" w:name="_Toc279701264"/>
      <w:bookmarkStart w:id="165" w:name="_Toc3148"/>
      <w:bookmarkStart w:id="166" w:name="_Toc487900374"/>
      <w:r>
        <w:rPr>
          <w:rFonts w:hint="eastAsia" w:ascii="仿宋" w:hAnsi="仿宋" w:eastAsia="仿宋" w:cs="仿宋"/>
          <w:b/>
          <w:color w:val="auto"/>
          <w:sz w:val="24"/>
          <w:highlight w:val="none"/>
        </w:rPr>
        <w:t>2.20 履约保证金</w:t>
      </w:r>
      <w:bookmarkEnd w:id="161"/>
      <w:bookmarkEnd w:id="162"/>
      <w:bookmarkEnd w:id="163"/>
      <w:bookmarkEnd w:id="164"/>
      <w:bookmarkEnd w:id="165"/>
    </w:p>
    <w:p>
      <w:pPr>
        <w:pStyle w:val="283"/>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hint="eastAsia" w:ascii="仿宋" w:hAnsi="仿宋" w:eastAsia="仿宋" w:cs="仿宋"/>
          <w:b/>
          <w:color w:val="auto"/>
          <w:sz w:val="24"/>
          <w:highlight w:val="none"/>
        </w:rPr>
      </w:pPr>
      <w:bookmarkStart w:id="167" w:name="_Toc6885"/>
      <w:bookmarkStart w:id="168" w:name="_Toc19890"/>
      <w:bookmarkStart w:id="169" w:name="_Toc14001"/>
      <w:r>
        <w:rPr>
          <w:rFonts w:hint="eastAsia" w:ascii="仿宋" w:hAnsi="仿宋" w:eastAsia="仿宋" w:cs="仿宋"/>
          <w:b/>
          <w:color w:val="auto"/>
          <w:sz w:val="24"/>
          <w:highlight w:val="none"/>
        </w:rPr>
        <w:t>2.22合同份数</w:t>
      </w:r>
      <w:bookmarkEnd w:id="167"/>
      <w:bookmarkEnd w:id="168"/>
      <w:bookmarkEnd w:id="1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282"/>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0" w:name="_Toc331685784"/>
      <w:bookmarkEnd w:id="170"/>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color w:val="auto"/>
          <w:sz w:val="36"/>
          <w:szCs w:val="36"/>
          <w:highlight w:val="none"/>
        </w:rPr>
      </w:pP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9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900"/>
        <w:gridCol w:w="1279"/>
        <w:gridCol w:w="5864"/>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37" w:type="dxa"/>
            <w:noWrap w:val="0"/>
            <w:vAlign w:val="center"/>
          </w:tcPr>
          <w:p>
            <w:pPr>
              <w:widowControl/>
              <w:jc w:val="center"/>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lang w:eastAsia="zh-CN"/>
              </w:rPr>
              <w:t>序号</w:t>
            </w:r>
          </w:p>
        </w:tc>
        <w:tc>
          <w:tcPr>
            <w:tcW w:w="900" w:type="dxa"/>
            <w:noWrap w:val="0"/>
            <w:vAlign w:val="center"/>
          </w:tcPr>
          <w:p>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评分类别</w:t>
            </w:r>
          </w:p>
        </w:tc>
        <w:tc>
          <w:tcPr>
            <w:tcW w:w="1279" w:type="dxa"/>
            <w:noWrap w:val="0"/>
            <w:vAlign w:val="center"/>
          </w:tcPr>
          <w:p>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评分要素</w:t>
            </w:r>
          </w:p>
        </w:tc>
        <w:tc>
          <w:tcPr>
            <w:tcW w:w="5864" w:type="dxa"/>
            <w:noWrap/>
            <w:vAlign w:val="center"/>
          </w:tcPr>
          <w:p>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主要评分内容</w:t>
            </w:r>
          </w:p>
        </w:tc>
        <w:tc>
          <w:tcPr>
            <w:tcW w:w="656" w:type="dxa"/>
            <w:noWrap/>
            <w:vAlign w:val="center"/>
          </w:tcPr>
          <w:p>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37" w:type="dxa"/>
            <w:vMerge w:val="restart"/>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c>
          <w:tcPr>
            <w:tcW w:w="900"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投标人实力与业绩</w:t>
            </w: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投标人实力</w:t>
            </w:r>
          </w:p>
        </w:tc>
        <w:tc>
          <w:tcPr>
            <w:tcW w:w="5864" w:type="dxa"/>
            <w:noWrap/>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投标人</w:t>
            </w:r>
            <w:r>
              <w:rPr>
                <w:rFonts w:hint="eastAsia" w:ascii="仿宋" w:hAnsi="仿宋" w:eastAsia="仿宋" w:cs="仿宋"/>
                <w:color w:val="auto"/>
                <w:kern w:val="0"/>
                <w:sz w:val="21"/>
                <w:szCs w:val="21"/>
                <w:highlight w:val="none"/>
              </w:rPr>
              <w:t>具备消防设施工程专业承包一级的得1分，具备电子与智能化工程专业承包二级</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以上的，得1分；</w:t>
            </w:r>
            <w:r>
              <w:rPr>
                <w:rFonts w:hint="eastAsia" w:ascii="仿宋" w:hAnsi="仿宋" w:eastAsia="仿宋" w:cs="仿宋"/>
                <w:color w:val="auto"/>
                <w:kern w:val="0"/>
                <w:sz w:val="21"/>
                <w:szCs w:val="21"/>
                <w:highlight w:val="none"/>
                <w:lang w:eastAsia="zh-CN"/>
              </w:rPr>
              <w:t>需提供资质证书复印件加盖投标人公章，未提供不得分。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5864" w:type="dxa"/>
            <w:noWrap/>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投标人</w:t>
            </w:r>
            <w:r>
              <w:rPr>
                <w:rFonts w:hint="eastAsia" w:ascii="仿宋" w:hAnsi="仿宋" w:eastAsia="仿宋" w:cs="仿宋"/>
                <w:color w:val="auto"/>
                <w:kern w:val="0"/>
                <w:sz w:val="21"/>
                <w:szCs w:val="21"/>
                <w:highlight w:val="none"/>
                <w:lang w:eastAsia="zh-CN"/>
              </w:rPr>
              <w:t>具</w:t>
            </w:r>
            <w:r>
              <w:rPr>
                <w:rFonts w:hint="eastAsia" w:ascii="仿宋" w:hAnsi="仿宋" w:eastAsia="仿宋" w:cs="仿宋"/>
                <w:color w:val="auto"/>
                <w:kern w:val="0"/>
                <w:sz w:val="21"/>
                <w:szCs w:val="21"/>
                <w:highlight w:val="none"/>
              </w:rPr>
              <w:t>有信息安全管理体系证书、质量管理体系认证证书、环境管理体系认证证书的，每</w:t>
            </w:r>
            <w:r>
              <w:rPr>
                <w:rFonts w:hint="eastAsia" w:ascii="仿宋" w:hAnsi="仿宋" w:eastAsia="仿宋" w:cs="仿宋"/>
                <w:color w:val="auto"/>
                <w:kern w:val="0"/>
                <w:sz w:val="21"/>
                <w:szCs w:val="21"/>
                <w:highlight w:val="none"/>
                <w:lang w:eastAsia="zh-CN"/>
              </w:rPr>
              <w:t>提供一份</w:t>
            </w:r>
            <w:r>
              <w:rPr>
                <w:rFonts w:hint="eastAsia" w:ascii="仿宋" w:hAnsi="仿宋" w:eastAsia="仿宋" w:cs="仿宋"/>
                <w:color w:val="auto"/>
                <w:kern w:val="0"/>
                <w:sz w:val="21"/>
                <w:szCs w:val="21"/>
                <w:highlight w:val="none"/>
              </w:rPr>
              <w:t>证书得1分，最高得3分</w:t>
            </w:r>
            <w:r>
              <w:rPr>
                <w:rFonts w:hint="eastAsia" w:ascii="仿宋" w:hAnsi="仿宋" w:eastAsia="仿宋" w:cs="仿宋"/>
                <w:color w:val="auto"/>
                <w:kern w:val="0"/>
                <w:sz w:val="21"/>
                <w:szCs w:val="21"/>
                <w:highlight w:val="none"/>
                <w:lang w:eastAsia="zh-CN"/>
              </w:rPr>
              <w:t>，需提供证书复印件加盖投标人公章，未提供不得分。</w:t>
            </w:r>
          </w:p>
        </w:tc>
        <w:tc>
          <w:tcPr>
            <w:tcW w:w="656" w:type="dxa"/>
            <w:vMerge w:val="continue"/>
            <w:noWrap w:val="0"/>
            <w:vAlign w:val="center"/>
          </w:tcPr>
          <w:p>
            <w:pPr>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团队实力</w:t>
            </w:r>
          </w:p>
        </w:tc>
        <w:tc>
          <w:tcPr>
            <w:tcW w:w="5864" w:type="dxa"/>
            <w:noWrap/>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拟派项目负责人</w:t>
            </w:r>
            <w:r>
              <w:rPr>
                <w:rFonts w:hint="eastAsia" w:ascii="仿宋" w:hAnsi="仿宋" w:eastAsia="仿宋" w:cs="仿宋"/>
                <w:color w:val="auto"/>
                <w:sz w:val="21"/>
                <w:szCs w:val="21"/>
                <w:highlight w:val="none"/>
              </w:rPr>
              <w:t>具有信息系统集成服务项目经理证书、PMP项目管理证书、</w:t>
            </w:r>
            <w:r>
              <w:rPr>
                <w:rFonts w:hint="eastAsia" w:ascii="仿宋" w:hAnsi="仿宋" w:eastAsia="仿宋" w:cs="仿宋"/>
                <w:color w:val="auto"/>
                <w:kern w:val="0"/>
                <w:sz w:val="21"/>
                <w:szCs w:val="21"/>
                <w:highlight w:val="none"/>
              </w:rPr>
              <w:t>一级注册消防工程师证书和高级工程师职称的，每</w:t>
            </w:r>
            <w:r>
              <w:rPr>
                <w:rFonts w:hint="eastAsia" w:ascii="仿宋" w:hAnsi="仿宋" w:eastAsia="仿宋" w:cs="仿宋"/>
                <w:color w:val="auto"/>
                <w:kern w:val="0"/>
                <w:sz w:val="21"/>
                <w:szCs w:val="21"/>
                <w:highlight w:val="none"/>
                <w:lang w:eastAsia="zh-CN"/>
              </w:rPr>
              <w:t>提供一份</w:t>
            </w:r>
            <w:r>
              <w:rPr>
                <w:rFonts w:hint="eastAsia" w:ascii="仿宋" w:hAnsi="仿宋" w:eastAsia="仿宋" w:cs="仿宋"/>
                <w:color w:val="auto"/>
                <w:kern w:val="0"/>
                <w:sz w:val="21"/>
                <w:szCs w:val="21"/>
                <w:highlight w:val="none"/>
              </w:rPr>
              <w:t>证书得1分，最多得4分</w:t>
            </w:r>
            <w:r>
              <w:rPr>
                <w:rFonts w:hint="eastAsia" w:ascii="仿宋" w:hAnsi="仿宋" w:eastAsia="仿宋" w:cs="仿宋"/>
                <w:color w:val="auto"/>
                <w:kern w:val="0"/>
                <w:sz w:val="21"/>
                <w:szCs w:val="21"/>
                <w:highlight w:val="none"/>
                <w:lang w:eastAsia="zh-CN"/>
              </w:rPr>
              <w:t>，需提供相关证书复印件及近三个月社保缴费证明加盖投标人公章，未提供不得分</w:t>
            </w:r>
            <w:r>
              <w:rPr>
                <w:rFonts w:hint="eastAsia" w:ascii="仿宋" w:hAnsi="仿宋" w:eastAsia="仿宋" w:cs="仿宋"/>
                <w:color w:val="auto"/>
                <w:kern w:val="0"/>
                <w:sz w:val="21"/>
                <w:szCs w:val="21"/>
                <w:highlight w:val="none"/>
              </w:rPr>
              <w:t>。</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5864" w:type="dxa"/>
            <w:noWrap/>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投标人有在职一级注册消防工程师1-3人的得1分，4-9人的得2分，10人及以上的得3分</w:t>
            </w:r>
            <w:r>
              <w:rPr>
                <w:rFonts w:hint="eastAsia" w:ascii="仿宋" w:hAnsi="仿宋" w:eastAsia="仿宋" w:cs="仿宋"/>
                <w:color w:val="auto"/>
                <w:kern w:val="0"/>
                <w:sz w:val="21"/>
                <w:szCs w:val="21"/>
                <w:highlight w:val="none"/>
                <w:lang w:eastAsia="zh-CN"/>
              </w:rPr>
              <w:t>，需提供证书复印件及近三个月的社保缴费证明资料加盖投标人公章未，未提供不得分</w:t>
            </w:r>
            <w:r>
              <w:rPr>
                <w:rFonts w:hint="eastAsia" w:ascii="仿宋" w:hAnsi="仿宋" w:eastAsia="仿宋" w:cs="仿宋"/>
                <w:color w:val="auto"/>
                <w:kern w:val="0"/>
                <w:sz w:val="21"/>
                <w:szCs w:val="21"/>
                <w:highlight w:val="none"/>
              </w:rPr>
              <w:t>。</w:t>
            </w:r>
          </w:p>
        </w:tc>
        <w:tc>
          <w:tcPr>
            <w:tcW w:w="656" w:type="dxa"/>
            <w:vMerge w:val="continue"/>
            <w:noWrap w:val="0"/>
            <w:vAlign w:val="center"/>
          </w:tcPr>
          <w:p>
            <w:pPr>
              <w:widowControl/>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类似项目业绩</w:t>
            </w:r>
          </w:p>
        </w:tc>
        <w:tc>
          <w:tcPr>
            <w:tcW w:w="5864" w:type="dxa"/>
            <w:noWrap/>
            <w:vAlign w:val="center"/>
          </w:tcPr>
          <w:p>
            <w:pPr>
              <w:widowControl/>
              <w:ind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投标人提供</w:t>
            </w:r>
            <w:r>
              <w:rPr>
                <w:rFonts w:hint="eastAsia" w:ascii="仿宋" w:hAnsi="仿宋" w:eastAsia="仿宋" w:cs="仿宋"/>
                <w:color w:val="auto"/>
                <w:kern w:val="0"/>
                <w:sz w:val="21"/>
                <w:szCs w:val="21"/>
                <w:highlight w:val="none"/>
                <w:lang w:val="en-US" w:eastAsia="zh-CN"/>
              </w:rPr>
              <w:t>2019月7月1日至今</w:t>
            </w:r>
            <w:r>
              <w:rPr>
                <w:rFonts w:hint="eastAsia" w:ascii="仿宋" w:hAnsi="仿宋" w:eastAsia="仿宋" w:cs="仿宋"/>
                <w:color w:val="auto"/>
                <w:kern w:val="0"/>
                <w:sz w:val="21"/>
                <w:szCs w:val="21"/>
                <w:highlight w:val="none"/>
              </w:rPr>
              <w:t>智慧消防类似项目的合同，每提供一</w:t>
            </w:r>
            <w:r>
              <w:rPr>
                <w:rFonts w:hint="eastAsia" w:ascii="仿宋" w:hAnsi="仿宋" w:eastAsia="仿宋" w:cs="仿宋"/>
                <w:color w:val="auto"/>
                <w:kern w:val="0"/>
                <w:sz w:val="21"/>
                <w:szCs w:val="21"/>
                <w:highlight w:val="none"/>
                <w:lang w:eastAsia="zh-CN"/>
              </w:rPr>
              <w:t>份</w:t>
            </w:r>
            <w:r>
              <w:rPr>
                <w:rFonts w:hint="eastAsia" w:ascii="仿宋" w:hAnsi="仿宋" w:eastAsia="仿宋" w:cs="仿宋"/>
                <w:color w:val="auto"/>
                <w:kern w:val="0"/>
                <w:sz w:val="21"/>
                <w:szCs w:val="21"/>
                <w:highlight w:val="none"/>
              </w:rPr>
              <w:t>得1分，最高得3分。须提供合同复印件加盖</w:t>
            </w:r>
            <w:r>
              <w:rPr>
                <w:rFonts w:hint="eastAsia" w:ascii="仿宋" w:hAnsi="仿宋" w:eastAsia="仿宋" w:cs="仿宋"/>
                <w:color w:val="auto"/>
                <w:kern w:val="0"/>
                <w:sz w:val="21"/>
                <w:szCs w:val="21"/>
                <w:highlight w:val="none"/>
                <w:lang w:eastAsia="zh-CN"/>
              </w:rPr>
              <w:t>投标人</w:t>
            </w:r>
            <w:r>
              <w:rPr>
                <w:rFonts w:hint="eastAsia" w:ascii="仿宋" w:hAnsi="仿宋" w:eastAsia="仿宋" w:cs="仿宋"/>
                <w:color w:val="auto"/>
                <w:kern w:val="0"/>
                <w:sz w:val="21"/>
                <w:szCs w:val="21"/>
                <w:highlight w:val="none"/>
              </w:rPr>
              <w:t>公章</w:t>
            </w:r>
            <w:r>
              <w:rPr>
                <w:rFonts w:hint="eastAsia" w:ascii="仿宋" w:hAnsi="仿宋" w:eastAsia="仿宋" w:cs="仿宋"/>
                <w:color w:val="auto"/>
                <w:kern w:val="0"/>
                <w:sz w:val="21"/>
                <w:szCs w:val="21"/>
                <w:highlight w:val="none"/>
                <w:lang w:eastAsia="zh-CN"/>
              </w:rPr>
              <w:t>，未提供不得分。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637" w:type="dxa"/>
            <w:vMerge w:val="restart"/>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w:t>
            </w:r>
          </w:p>
        </w:tc>
        <w:tc>
          <w:tcPr>
            <w:tcW w:w="900"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产品技术能力</w:t>
            </w: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技术参数指标响应情况</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完全满足招标文件技术规范及要求的，得14分。</w:t>
            </w:r>
            <w:r>
              <w:rPr>
                <w:rFonts w:hint="eastAsia" w:ascii="仿宋" w:hAnsi="仿宋" w:eastAsia="仿宋" w:cs="仿宋"/>
                <w:bCs w:val="0"/>
                <w:color w:val="auto"/>
                <w:kern w:val="0"/>
                <w:sz w:val="21"/>
                <w:szCs w:val="21"/>
                <w:highlight w:val="none"/>
              </w:rPr>
              <w:t>其中含“★”为实质性指标要求条款，如有负偏离，则作无效投标处理</w:t>
            </w:r>
            <w:r>
              <w:rPr>
                <w:rFonts w:hint="eastAsia" w:ascii="仿宋" w:hAnsi="仿宋" w:eastAsia="仿宋" w:cs="仿宋"/>
                <w:bCs w:val="0"/>
                <w:color w:val="auto"/>
                <w:kern w:val="0"/>
                <w:sz w:val="21"/>
                <w:szCs w:val="21"/>
                <w:highlight w:val="none"/>
                <w:lang w:eastAsia="zh-CN"/>
              </w:rPr>
              <w:t>，</w:t>
            </w:r>
            <w:r>
              <w:rPr>
                <w:rFonts w:hint="eastAsia" w:ascii="仿宋" w:hAnsi="仿宋" w:eastAsia="仿宋" w:cs="仿宋"/>
                <w:bCs w:val="0"/>
                <w:color w:val="auto"/>
                <w:kern w:val="0"/>
                <w:sz w:val="21"/>
                <w:szCs w:val="21"/>
                <w:highlight w:val="none"/>
              </w:rPr>
              <w:t>含“▲”主要性能指标要求条款，如有负偏离，每项扣</w:t>
            </w:r>
            <w:r>
              <w:rPr>
                <w:rFonts w:hint="eastAsia" w:ascii="仿宋" w:hAnsi="仿宋" w:eastAsia="仿宋" w:cs="仿宋"/>
                <w:bCs w:val="0"/>
                <w:color w:val="auto"/>
                <w:kern w:val="0"/>
                <w:sz w:val="21"/>
                <w:szCs w:val="21"/>
                <w:highlight w:val="none"/>
                <w:lang w:val="en-US" w:eastAsia="zh-CN"/>
              </w:rPr>
              <w:t>2</w:t>
            </w:r>
            <w:r>
              <w:rPr>
                <w:rFonts w:hint="eastAsia" w:ascii="仿宋" w:hAnsi="仿宋" w:eastAsia="仿宋" w:cs="仿宋"/>
                <w:bCs w:val="0"/>
                <w:color w:val="auto"/>
                <w:kern w:val="0"/>
                <w:sz w:val="21"/>
                <w:szCs w:val="21"/>
                <w:highlight w:val="none"/>
              </w:rPr>
              <w:t>分</w:t>
            </w:r>
            <w:r>
              <w:rPr>
                <w:rFonts w:hint="eastAsia" w:ascii="仿宋" w:hAnsi="仿宋" w:eastAsia="仿宋" w:cs="仿宋"/>
                <w:bCs w:val="0"/>
                <w:color w:val="auto"/>
                <w:kern w:val="0"/>
                <w:sz w:val="21"/>
                <w:szCs w:val="21"/>
                <w:highlight w:val="none"/>
                <w:lang w:eastAsia="zh-CN"/>
              </w:rPr>
              <w:t>，</w:t>
            </w:r>
            <w:r>
              <w:rPr>
                <w:rFonts w:hint="eastAsia" w:ascii="仿宋" w:hAnsi="仿宋" w:eastAsia="仿宋" w:cs="仿宋"/>
                <w:bCs w:val="0"/>
                <w:color w:val="auto"/>
                <w:kern w:val="0"/>
                <w:sz w:val="21"/>
                <w:szCs w:val="21"/>
                <w:highlight w:val="none"/>
              </w:rPr>
              <w:t>其他项负偏离每项扣1分</w:t>
            </w:r>
            <w:r>
              <w:rPr>
                <w:rFonts w:hint="eastAsia" w:ascii="仿宋" w:hAnsi="仿宋" w:eastAsia="仿宋" w:cs="仿宋"/>
                <w:bCs w:val="0"/>
                <w:color w:val="auto"/>
                <w:kern w:val="0"/>
                <w:sz w:val="21"/>
                <w:szCs w:val="21"/>
                <w:highlight w:val="none"/>
                <w:lang w:eastAsia="zh-CN"/>
              </w:rPr>
              <w:t>，</w:t>
            </w:r>
            <w:r>
              <w:rPr>
                <w:rFonts w:hint="eastAsia" w:ascii="仿宋" w:hAnsi="仿宋" w:eastAsia="仿宋" w:cs="仿宋"/>
                <w:color w:val="auto"/>
                <w:kern w:val="0"/>
                <w:sz w:val="21"/>
                <w:szCs w:val="21"/>
                <w:highlight w:val="none"/>
              </w:rPr>
              <w:t>扣完为止</w:t>
            </w:r>
            <w:r>
              <w:rPr>
                <w:rFonts w:hint="eastAsia" w:ascii="仿宋" w:hAnsi="仿宋" w:eastAsia="仿宋" w:cs="仿宋"/>
                <w:color w:val="auto"/>
                <w:kern w:val="0"/>
                <w:sz w:val="21"/>
                <w:szCs w:val="21"/>
                <w:highlight w:val="none"/>
                <w:lang w:eastAsia="zh-CN"/>
              </w:rPr>
              <w:t>。</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软件平台升级与对接方案</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本项目建设的软件平台要求无缝对接本院智慧消防（一期）项目所建平台（需自行与平台相关承建商对接），并在其基础上进行升级迭代，且要求接入智慧消防（一期）项目中所接入平台的硬件设备。由评委根据投标人提供的接入与升级方案的科学性、合理性及完善性等进行综合评分。优3.1-5分，良2.1-3分，一般0-2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637" w:type="dxa"/>
            <w:vMerge w:val="restart"/>
            <w:noWrap w:val="0"/>
            <w:vAlign w:val="center"/>
          </w:tcPr>
          <w:p>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900" w:type="dxa"/>
            <w:vMerge w:val="restart"/>
            <w:noWrap w:val="0"/>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技术实施方案</w:t>
            </w: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设计方案</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对项目整体需求的理解和分析，和对医院整体环境的了解，并对医院整体的智慧消防建设方案进行设计，包括如何利用好医院智慧消防一期项目所投入的设备，新增智慧消防设备部署策略，如何根据医院实际情况与医院传统消防设施进行配合，新老院区智慧消防建设如何协调等。</w:t>
            </w:r>
          </w:p>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评委根据投标人调研的数据准确性、全面性以及升级建议的合理性、科学性的优劣程度，进行</w:t>
            </w:r>
            <w:r>
              <w:rPr>
                <w:rFonts w:hint="eastAsia" w:ascii="仿宋" w:hAnsi="仿宋" w:eastAsia="仿宋" w:cs="仿宋"/>
                <w:color w:val="auto"/>
                <w:kern w:val="0"/>
                <w:sz w:val="21"/>
                <w:szCs w:val="21"/>
                <w:highlight w:val="none"/>
                <w:lang w:eastAsia="zh-CN"/>
              </w:rPr>
              <w:t>综合</w:t>
            </w:r>
            <w:r>
              <w:rPr>
                <w:rFonts w:hint="eastAsia" w:ascii="仿宋" w:hAnsi="仿宋" w:eastAsia="仿宋" w:cs="仿宋"/>
                <w:color w:val="auto"/>
                <w:kern w:val="0"/>
                <w:sz w:val="21"/>
                <w:szCs w:val="21"/>
                <w:highlight w:val="none"/>
              </w:rPr>
              <w:t>评分，优5.6-8分，良3.1-5.5分，一般0-3分。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637" w:type="dxa"/>
            <w:vMerge w:val="continue"/>
            <w:noWrap w:val="0"/>
            <w:vAlign w:val="center"/>
          </w:tcPr>
          <w:p>
            <w:pPr>
              <w:widowControl/>
              <w:jc w:val="center"/>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center"/>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实施方案</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评委根据投标人提供的实施方案内容是否详细、全面、符合设计要求，包括总体流程、人员配备、软硬件设备介绍及实施方案、实施现场管理方案等，进行综合评分，优3.1-5分，良2.1-3分，一般0-2分。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组织方案</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委根据投标人组织方案的科学性、合理性、规范性和可操作性，包括产品供货、验货、安装调试、测试、试运行、验收等内容，以及组织机构、工作时间进度表、工作程序和步骤、管理和协调方法、关键步骤的思路和要点等综合评分，优2.1-3分，良1.1-2分，一般0-1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质量保证措施</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委根据投标人提供的质量保证措施内容（如完善的项目组织机构和严密的质量保证体系、质量保证技术措施、过程质量预控、质量保证及创优措施）是否详细、全面、符合设计要求，相对比较，方案齐全、全面。进行</w:t>
            </w:r>
            <w:r>
              <w:rPr>
                <w:rFonts w:hint="eastAsia" w:ascii="仿宋" w:hAnsi="仿宋" w:eastAsia="仿宋" w:cs="仿宋"/>
                <w:color w:val="auto"/>
                <w:kern w:val="0"/>
                <w:sz w:val="21"/>
                <w:szCs w:val="21"/>
                <w:highlight w:val="none"/>
                <w:lang w:eastAsia="zh-CN"/>
              </w:rPr>
              <w:t>综合</w:t>
            </w:r>
            <w:r>
              <w:rPr>
                <w:rFonts w:hint="eastAsia" w:ascii="仿宋" w:hAnsi="仿宋" w:eastAsia="仿宋" w:cs="仿宋"/>
                <w:color w:val="auto"/>
                <w:kern w:val="0"/>
                <w:sz w:val="21"/>
                <w:szCs w:val="21"/>
                <w:highlight w:val="none"/>
              </w:rPr>
              <w:t>评分，优2.1-3分，良1.1-2分，一般0-1分。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售后服务</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w:t>
            </w:r>
            <w:r>
              <w:rPr>
                <w:rFonts w:hint="eastAsia" w:ascii="仿宋" w:hAnsi="仿宋" w:eastAsia="仿宋" w:cs="仿宋"/>
                <w:color w:val="auto"/>
                <w:kern w:val="0"/>
                <w:sz w:val="21"/>
                <w:szCs w:val="21"/>
                <w:highlight w:val="none"/>
                <w:lang w:eastAsia="zh-CN"/>
              </w:rPr>
              <w:t>投标人的</w:t>
            </w:r>
            <w:r>
              <w:rPr>
                <w:rFonts w:hint="eastAsia" w:ascii="仿宋" w:hAnsi="仿宋" w:eastAsia="仿宋" w:cs="仿宋"/>
                <w:color w:val="auto"/>
                <w:kern w:val="0"/>
                <w:sz w:val="21"/>
                <w:szCs w:val="21"/>
                <w:highlight w:val="none"/>
              </w:rPr>
              <w:t>售后服务的具体内容和措施</w:t>
            </w:r>
            <w:r>
              <w:rPr>
                <w:rFonts w:hint="eastAsia" w:ascii="仿宋" w:hAnsi="仿宋" w:eastAsia="仿宋" w:cs="仿宋"/>
                <w:color w:val="auto"/>
                <w:kern w:val="0"/>
                <w:sz w:val="21"/>
                <w:szCs w:val="21"/>
                <w:highlight w:val="none"/>
                <w:lang w:eastAsia="zh-CN"/>
              </w:rPr>
              <w:t>及本地化服务能力</w:t>
            </w:r>
            <w:r>
              <w:rPr>
                <w:rFonts w:hint="eastAsia" w:ascii="仿宋" w:hAnsi="仿宋" w:eastAsia="仿宋" w:cs="仿宋"/>
                <w:color w:val="auto"/>
                <w:kern w:val="0"/>
                <w:sz w:val="21"/>
                <w:szCs w:val="21"/>
                <w:highlight w:val="none"/>
              </w:rPr>
              <w:t>（包括质保期内的售后服务、</w:t>
            </w:r>
            <w:r>
              <w:rPr>
                <w:rFonts w:hint="eastAsia" w:ascii="仿宋" w:hAnsi="仿宋" w:eastAsia="仿宋" w:cs="仿宋"/>
                <w:color w:val="auto"/>
                <w:kern w:val="0"/>
                <w:sz w:val="21"/>
                <w:szCs w:val="21"/>
                <w:highlight w:val="none"/>
                <w:lang w:eastAsia="zh-CN"/>
              </w:rPr>
              <w:t>售后服务点、</w:t>
            </w:r>
            <w:r>
              <w:rPr>
                <w:rFonts w:hint="eastAsia" w:ascii="仿宋" w:hAnsi="仿宋" w:eastAsia="仿宋" w:cs="仿宋"/>
                <w:color w:val="auto"/>
                <w:kern w:val="0"/>
                <w:sz w:val="21"/>
                <w:szCs w:val="21"/>
                <w:highlight w:val="none"/>
              </w:rPr>
              <w:t>对用户故障的响应、处理、定期巡检等情况及质保期满后的售后服务具体方案）、售后维护机构和人员配备、技术培训及技术服务等综合评分，优</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分，良</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分，一般0-</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w:t>
            </w:r>
          </w:p>
        </w:tc>
        <w:tc>
          <w:tcPr>
            <w:tcW w:w="656" w:type="dxa"/>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7" w:type="dxa"/>
            <w:vMerge w:val="restart"/>
            <w:noWrap w:val="0"/>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900"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软件演示</w:t>
            </w: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火灾报警远程监控</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一、火灾报警远程监控功能演示（0-3分）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远程监控联网单位地图展示、报警信息列表、不同类别报警数分类汇总统计、远程监控设备在离线状态显示和最近报警记录显示（至少能显示5条）、配有火警报警铃声、可单独显示火警报警列表，该模块当前使用成熟稳定，在绍兴市范围配备7*24小时远程监控值班室。</w:t>
            </w:r>
          </w:p>
        </w:tc>
        <w:tc>
          <w:tcPr>
            <w:tcW w:w="656" w:type="dxa"/>
            <w:vMerge w:val="continue"/>
            <w:noWrap w:val="0"/>
            <w:vAlign w:val="center"/>
          </w:tcPr>
          <w:p>
            <w:pPr>
              <w:widowControl/>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单位自主管理</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二、单位自主管理功能演示（0-3分）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防火巡查人员考勤打卡及巡查、消控室工作人员交接班管理及工作记录、待办工作列表、消防隐患治理、消防演练记录、消防6+1功能。</w:t>
            </w:r>
          </w:p>
        </w:tc>
        <w:tc>
          <w:tcPr>
            <w:tcW w:w="656" w:type="dxa"/>
            <w:vMerge w:val="continue"/>
            <w:noWrap w:val="0"/>
            <w:vAlign w:val="center"/>
          </w:tcPr>
          <w:p>
            <w:pPr>
              <w:widowControl/>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消防水系统管理</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三、消防水系统管理功能演示（0-3分）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点击具体设备查看管网压力、水位并支持查看历史数据，能够设置相应阀值及超过阀值预警；支持不同厂家的同种类型设备接入（如室内水系统压力监测设备），支持不类型物联设备的接入与数据展示，包括室外消火栓、室内消火栓管网、消防水池。</w:t>
            </w:r>
          </w:p>
        </w:tc>
        <w:tc>
          <w:tcPr>
            <w:tcW w:w="656" w:type="dxa"/>
            <w:vMerge w:val="continue"/>
            <w:noWrap w:val="0"/>
            <w:vAlign w:val="center"/>
          </w:tcPr>
          <w:p>
            <w:pPr>
              <w:widowControl/>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restart"/>
            <w:noWrap w:val="0"/>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智能视频监控</w:t>
            </w: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四、智能视频监控功能演示（0-3分）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1279" w:type="dxa"/>
            <w:vMerge w:val="continue"/>
            <w:noWrap w:val="0"/>
            <w:vAlign w:val="center"/>
          </w:tcPr>
          <w:p>
            <w:pPr>
              <w:widowControl/>
              <w:jc w:val="center"/>
              <w:rPr>
                <w:rFonts w:hint="eastAsia" w:ascii="仿宋" w:hAnsi="仿宋" w:eastAsia="仿宋" w:cs="仿宋"/>
                <w:color w:val="auto"/>
                <w:kern w:val="0"/>
                <w:sz w:val="21"/>
                <w:szCs w:val="21"/>
                <w:highlight w:val="none"/>
              </w:rPr>
            </w:pPr>
          </w:p>
        </w:tc>
        <w:tc>
          <w:tcPr>
            <w:tcW w:w="5864" w:type="dxa"/>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消控室配备人员在离岗监控摄像头，能实时显示实际在岗与应在岗人数，当在岗人数不足的时间超过允许时限时，平台进行预警。</w:t>
            </w:r>
          </w:p>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当现场发生烟感、手报等报警器报警时，可调取报警点位附近的摄像头视频查看报警点位现场情况。</w:t>
            </w:r>
          </w:p>
        </w:tc>
        <w:tc>
          <w:tcPr>
            <w:tcW w:w="656" w:type="dxa"/>
            <w:vMerge w:val="continue"/>
            <w:noWrap/>
            <w:vAlign w:val="center"/>
          </w:tcPr>
          <w:p>
            <w:pPr>
              <w:widowControl/>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7143" w:type="dxa"/>
            <w:gridSpan w:val="2"/>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以上四个功能模块，每个模块根据功能完善情况进行0-3分的评分，完整演示的每项最高得3分，缺失功能模块的该项不得分，演示最高得分12分。</w:t>
            </w:r>
          </w:p>
        </w:tc>
        <w:tc>
          <w:tcPr>
            <w:tcW w:w="656" w:type="dxa"/>
            <w:vMerge w:val="restart"/>
            <w:noWrap/>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7"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900" w:type="dxa"/>
            <w:vMerge w:val="continue"/>
            <w:noWrap w:val="0"/>
            <w:vAlign w:val="center"/>
          </w:tcPr>
          <w:p>
            <w:pPr>
              <w:widowControl/>
              <w:jc w:val="left"/>
              <w:rPr>
                <w:rFonts w:hint="eastAsia" w:ascii="仿宋" w:hAnsi="仿宋" w:eastAsia="仿宋" w:cs="仿宋"/>
                <w:color w:val="auto"/>
                <w:kern w:val="0"/>
                <w:sz w:val="21"/>
                <w:szCs w:val="21"/>
                <w:highlight w:val="none"/>
              </w:rPr>
            </w:pPr>
          </w:p>
        </w:tc>
        <w:tc>
          <w:tcPr>
            <w:tcW w:w="7143" w:type="dxa"/>
            <w:gridSpan w:val="2"/>
            <w:noWrap w:val="0"/>
            <w:vAlign w:val="center"/>
          </w:tcPr>
          <w:p>
            <w:pPr>
              <w:widowControl/>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本项目系统功能演示需以MP4格式文件放置到U盘中，U盘先密封至独立的信封，且在信封上标明“软件系统演示”字样，密封口应加盖投标人公章，之后把密封的信封在投标截止时间前寄达，每个投标单位演示播放时间不得超过15分钟，超时部分不计入评分范围，最终由专家进行综合评分。</w:t>
            </w:r>
          </w:p>
        </w:tc>
        <w:tc>
          <w:tcPr>
            <w:tcW w:w="656" w:type="dxa"/>
            <w:vMerge w:val="continue"/>
            <w:noWrap w:val="0"/>
            <w:vAlign w:val="center"/>
          </w:tcPr>
          <w:p>
            <w:pPr>
              <w:widowControl/>
              <w:jc w:val="left"/>
              <w:rPr>
                <w:rFonts w:hint="eastAsia" w:ascii="仿宋" w:hAnsi="仿宋" w:eastAsia="仿宋" w:cs="仿宋"/>
                <w:color w:val="auto"/>
                <w:kern w:val="0"/>
                <w:sz w:val="21"/>
                <w:szCs w:val="21"/>
                <w:highlight w:val="none"/>
              </w:rPr>
            </w:pP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pPr>
        <w:snapToGrid w:val="0"/>
        <w:rPr>
          <w:rFonts w:hint="eastAsia" w:ascii="仿宋" w:hAnsi="仿宋" w:eastAsia="仿宋" w:cs="仿宋"/>
          <w:b/>
          <w:color w:val="auto"/>
          <w:sz w:val="24"/>
          <w:highlight w:val="none"/>
          <w:u w:val="single"/>
        </w:rPr>
      </w:pPr>
    </w:p>
    <w:bookmarkEnd w:id="8"/>
    <w:bookmarkEnd w:id="9"/>
    <w:bookmarkEnd w:id="10"/>
    <w:bookmarkEnd w:id="11"/>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9"/>
        <w:spacing w:afterLines="0" w:line="440" w:lineRule="exact"/>
        <w:ind w:firstLine="0" w:firstLineChars="0"/>
        <w:rPr>
          <w:rFonts w:hint="eastAsia" w:ascii="仿宋" w:hAnsi="仿宋" w:eastAsia="仿宋" w:cs="仿宋"/>
          <w:color w:val="auto"/>
          <w:szCs w:val="24"/>
          <w:highlight w:val="none"/>
        </w:rPr>
      </w:pPr>
    </w:p>
    <w:p>
      <w:pPr>
        <w:pStyle w:val="69"/>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9"/>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智慧消防综合监管平台定制升级开发</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套</w:t>
            </w: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手机小程序</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套</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手机公众号</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套</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用户传输装置</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台</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5</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室内智能无线压力采集设备</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105</w:t>
            </w:r>
            <w:r>
              <w:rPr>
                <w:rFonts w:hint="eastAsia" w:ascii="仿宋" w:hAnsi="仿宋" w:eastAsia="仿宋" w:cs="仿宋"/>
                <w:color w:val="auto"/>
                <w:sz w:val="21"/>
                <w:szCs w:val="21"/>
                <w:highlight w:val="none"/>
                <w:lang w:eastAsia="zh-CN"/>
              </w:rPr>
              <w:t>只</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6</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室外消火栓无线压力计</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15</w:t>
            </w:r>
            <w:r>
              <w:rPr>
                <w:rFonts w:hint="eastAsia" w:ascii="仿宋" w:hAnsi="仿宋" w:eastAsia="仿宋" w:cs="仿宋"/>
                <w:color w:val="auto"/>
                <w:sz w:val="21"/>
                <w:szCs w:val="21"/>
                <w:highlight w:val="none"/>
                <w:lang w:eastAsia="zh-CN"/>
              </w:rPr>
              <w:t>台</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7</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物联网多信号采集终端</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60</w:t>
            </w:r>
            <w:r>
              <w:rPr>
                <w:rFonts w:hint="eastAsia" w:ascii="仿宋" w:hAnsi="仿宋" w:eastAsia="仿宋" w:cs="仿宋"/>
                <w:color w:val="auto"/>
                <w:sz w:val="21"/>
                <w:szCs w:val="21"/>
                <w:highlight w:val="none"/>
                <w:lang w:eastAsia="zh-CN"/>
              </w:rPr>
              <w:t>台</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8</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智能电子巡查标签</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1100</w:t>
            </w:r>
            <w:r>
              <w:rPr>
                <w:rFonts w:hint="eastAsia" w:ascii="仿宋" w:hAnsi="仿宋" w:eastAsia="仿宋" w:cs="仿宋"/>
                <w:color w:val="auto"/>
                <w:sz w:val="21"/>
                <w:szCs w:val="21"/>
                <w:highlight w:val="none"/>
                <w:lang w:eastAsia="zh-CN"/>
              </w:rPr>
              <w:t>张</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9</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sz w:val="21"/>
                <w:szCs w:val="21"/>
                <w:highlight w:val="none"/>
              </w:rPr>
              <w:t>气体压力监测传感器</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eastAsia="zh-CN"/>
              </w:rPr>
              <w:t>只</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default"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10</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kern w:val="0"/>
                <w:sz w:val="21"/>
                <w:szCs w:val="21"/>
                <w:highlight w:val="none"/>
              </w:rPr>
              <w:t>人员监测、可视对讲摄像机</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只</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default" w:ascii="仿宋" w:hAnsi="仿宋" w:eastAsia="仿宋" w:cs="仿宋"/>
                <w:color w:val="auto"/>
                <w:spacing w:val="20"/>
                <w:sz w:val="18"/>
                <w:szCs w:val="18"/>
                <w:highlight w:val="none"/>
                <w:lang w:val="en-US" w:eastAsia="zh-CN"/>
              </w:rPr>
            </w:pPr>
            <w:r>
              <w:rPr>
                <w:rFonts w:hint="eastAsia" w:ascii="仿宋" w:hAnsi="仿宋" w:eastAsia="仿宋" w:cs="仿宋"/>
                <w:color w:val="auto"/>
                <w:spacing w:val="20"/>
                <w:sz w:val="18"/>
                <w:szCs w:val="18"/>
                <w:highlight w:val="none"/>
                <w:lang w:val="en-US" w:eastAsia="zh-CN"/>
              </w:rPr>
              <w:t>11</w:t>
            </w:r>
          </w:p>
        </w:tc>
        <w:tc>
          <w:tcPr>
            <w:tcW w:w="1080" w:type="dxa"/>
            <w:tcBorders>
              <w:right w:val="single" w:color="auto" w:sz="4" w:space="0"/>
            </w:tcBorders>
            <w:vAlign w:val="center"/>
          </w:tcPr>
          <w:p>
            <w:pPr>
              <w:rPr>
                <w:rFonts w:hint="eastAsia" w:ascii="仿宋" w:hAnsi="仿宋" w:eastAsia="仿宋" w:cs="仿宋"/>
                <w:color w:val="auto"/>
                <w:spacing w:val="20"/>
                <w:sz w:val="18"/>
                <w:szCs w:val="18"/>
                <w:highlight w:val="none"/>
              </w:rPr>
            </w:pPr>
            <w:r>
              <w:rPr>
                <w:rFonts w:hint="eastAsia" w:ascii="仿宋" w:hAnsi="仿宋" w:eastAsia="仿宋" w:cs="仿宋"/>
                <w:color w:val="auto"/>
                <w:kern w:val="0"/>
                <w:sz w:val="21"/>
                <w:szCs w:val="21"/>
                <w:highlight w:val="none"/>
              </w:rPr>
              <w:t>探测绝缘性能式（阻性）电气火灾监控探测器</w:t>
            </w: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jc w:val="center"/>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jc w:val="center"/>
              <w:rPr>
                <w:rFonts w:hint="eastAsia" w:ascii="仿宋" w:hAnsi="仿宋" w:eastAsia="仿宋" w:cs="仿宋"/>
                <w:color w:val="auto"/>
                <w:spacing w:val="20"/>
                <w:sz w:val="18"/>
                <w:szCs w:val="18"/>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台</w:t>
            </w: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3"/>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智慧消防安全管理系统（二期）项目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智慧消防安全管理系统（二期）项目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绍兴市中医院智慧消防安全管理系统（二期）项目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TYJZ2022</w:t>
      </w:r>
      <w:r>
        <w:rPr>
          <w:rFonts w:hint="eastAsia" w:ascii="仿宋" w:hAnsi="仿宋" w:eastAsia="仿宋" w:cs="仿宋"/>
          <w:color w:val="auto"/>
          <w:sz w:val="24"/>
          <w:highlight w:val="none"/>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4"/>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186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ascii="仿宋_GB2312" w:eastAsia="宋体"/>
        <w:b/>
        <w:i/>
        <w:u w:val="single"/>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A053D53"/>
    <w:multiLevelType w:val="multilevel"/>
    <w:tmpl w:val="2A053D5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150DA5"/>
    <w:multiLevelType w:val="multilevel"/>
    <w:tmpl w:val="2B150DA5"/>
    <w:lvl w:ilvl="0" w:tentative="0">
      <w:start w:val="1"/>
      <w:numFmt w:val="decimal"/>
      <w:lvlText w:val="%1"/>
      <w:lvlJc w:val="left"/>
      <w:pPr>
        <w:ind w:left="495" w:hanging="495"/>
      </w:pPr>
      <w:rPr>
        <w:rFonts w:hint="default"/>
      </w:rPr>
    </w:lvl>
    <w:lvl w:ilvl="1" w:tentative="0">
      <w:start w:val="1"/>
      <w:numFmt w:val="decimal"/>
      <w:pStyle w:val="288"/>
      <w:lvlText w:val="%1.%2"/>
      <w:lvlJc w:val="left"/>
      <w:pPr>
        <w:ind w:left="720" w:hanging="720"/>
      </w:pPr>
      <w:rPr>
        <w:rFonts w:hint="default"/>
      </w:rPr>
    </w:lvl>
    <w:lvl w:ilvl="2" w:tentative="0">
      <w:start w:val="1"/>
      <w:numFmt w:val="decimal"/>
      <w:pStyle w:val="289"/>
      <w:lvlText w:val="%1.%2.%3"/>
      <w:lvlJc w:val="left"/>
      <w:pPr>
        <w:ind w:left="1080" w:hanging="108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5）"/>
      <w:lvlJc w:val="left"/>
      <w:pPr>
        <w:ind w:left="1440" w:hanging="1440"/>
      </w:pPr>
      <w:rPr>
        <w:rFonts w:hint="eastAsia"/>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5">
    <w:nsid w:val="3FB9536A"/>
    <w:multiLevelType w:val="multilevel"/>
    <w:tmpl w:val="3FB9536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FEE3497"/>
    <w:multiLevelType w:val="multilevel"/>
    <w:tmpl w:val="4FEE349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0E0380"/>
    <w:multiLevelType w:val="multilevel"/>
    <w:tmpl w:val="530E038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5FEA51E5"/>
    <w:multiLevelType w:val="multilevel"/>
    <w:tmpl w:val="5FEA51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336640E"/>
    <w:multiLevelType w:val="multilevel"/>
    <w:tmpl w:val="6336640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4363C50"/>
    <w:multiLevelType w:val="multilevel"/>
    <w:tmpl w:val="64363C5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4C9313C"/>
    <w:multiLevelType w:val="multilevel"/>
    <w:tmpl w:val="64C9313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7AC7616"/>
    <w:multiLevelType w:val="multilevel"/>
    <w:tmpl w:val="67AC761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5">
    <w:nsid w:val="6C223280"/>
    <w:multiLevelType w:val="multilevel"/>
    <w:tmpl w:val="6C22328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99C36F1"/>
    <w:multiLevelType w:val="multilevel"/>
    <w:tmpl w:val="799C36F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
  </w:num>
  <w:num w:numId="3">
    <w:abstractNumId w:val="0"/>
  </w:num>
  <w:num w:numId="4">
    <w:abstractNumId w:val="14"/>
  </w:num>
  <w:num w:numId="5">
    <w:abstractNumId w:val="4"/>
  </w:num>
  <w:num w:numId="6">
    <w:abstractNumId w:val="16"/>
  </w:num>
  <w:num w:numId="7">
    <w:abstractNumId w:val="6"/>
  </w:num>
  <w:num w:numId="8">
    <w:abstractNumId w:val="7"/>
  </w:num>
  <w:num w:numId="9">
    <w:abstractNumId w:val="10"/>
  </w:num>
  <w:num w:numId="10">
    <w:abstractNumId w:val="5"/>
  </w:num>
  <w:num w:numId="11">
    <w:abstractNumId w:val="15"/>
  </w:num>
  <w:num w:numId="12">
    <w:abstractNumId w:val="3"/>
  </w:num>
  <w:num w:numId="13">
    <w:abstractNumId w:val="12"/>
  </w:num>
  <w:num w:numId="14">
    <w:abstractNumId w:val="9"/>
  </w:num>
  <w:num w:numId="15">
    <w:abstractNumId w:val="17"/>
  </w:num>
  <w:num w:numId="16">
    <w:abstractNumId w:val="11"/>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FBE"/>
    <w:rsid w:val="000E1C88"/>
    <w:rsid w:val="000E3723"/>
    <w:rsid w:val="000E4A4F"/>
    <w:rsid w:val="000E5C9B"/>
    <w:rsid w:val="000E6F8C"/>
    <w:rsid w:val="000E72A0"/>
    <w:rsid w:val="000F0D59"/>
    <w:rsid w:val="000F51A7"/>
    <w:rsid w:val="000F5EF4"/>
    <w:rsid w:val="000F7FA8"/>
    <w:rsid w:val="001023D9"/>
    <w:rsid w:val="00103B47"/>
    <w:rsid w:val="0010408F"/>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071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1F0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5E87"/>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56C86"/>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293"/>
    <w:rsid w:val="0041460B"/>
    <w:rsid w:val="00414F64"/>
    <w:rsid w:val="00417C8A"/>
    <w:rsid w:val="0042136D"/>
    <w:rsid w:val="00424C70"/>
    <w:rsid w:val="0042557D"/>
    <w:rsid w:val="00426003"/>
    <w:rsid w:val="00426CA3"/>
    <w:rsid w:val="00427B10"/>
    <w:rsid w:val="004350B7"/>
    <w:rsid w:val="004357E0"/>
    <w:rsid w:val="00436ECF"/>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3A0"/>
    <w:rsid w:val="006A1906"/>
    <w:rsid w:val="006A37DE"/>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4F7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2C1"/>
    <w:rsid w:val="007774FA"/>
    <w:rsid w:val="00777C1A"/>
    <w:rsid w:val="00777DF4"/>
    <w:rsid w:val="00777F21"/>
    <w:rsid w:val="00780272"/>
    <w:rsid w:val="007804F7"/>
    <w:rsid w:val="007809BE"/>
    <w:rsid w:val="007814B9"/>
    <w:rsid w:val="0078178E"/>
    <w:rsid w:val="007822C3"/>
    <w:rsid w:val="00783B90"/>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101E"/>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0A4"/>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31E7"/>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2931"/>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07FCE"/>
    <w:rsid w:val="00B11F7D"/>
    <w:rsid w:val="00B1230F"/>
    <w:rsid w:val="00B127DA"/>
    <w:rsid w:val="00B12ECD"/>
    <w:rsid w:val="00B14C0B"/>
    <w:rsid w:val="00B2146D"/>
    <w:rsid w:val="00B22BA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9B9"/>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3B15"/>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2A8C"/>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10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0B7"/>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45A"/>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D95"/>
    <w:rsid w:val="00FC7905"/>
    <w:rsid w:val="00FD0273"/>
    <w:rsid w:val="00FE5E89"/>
    <w:rsid w:val="00FE7260"/>
    <w:rsid w:val="00FF0866"/>
    <w:rsid w:val="00FF0CA9"/>
    <w:rsid w:val="00FF724C"/>
    <w:rsid w:val="00FF7BD2"/>
    <w:rsid w:val="02B8688A"/>
    <w:rsid w:val="04A76FA3"/>
    <w:rsid w:val="0C3D2B4F"/>
    <w:rsid w:val="0CD5317F"/>
    <w:rsid w:val="0E614412"/>
    <w:rsid w:val="1571672E"/>
    <w:rsid w:val="15F20E41"/>
    <w:rsid w:val="161D1724"/>
    <w:rsid w:val="1DD41AB8"/>
    <w:rsid w:val="2ACA45ED"/>
    <w:rsid w:val="2E7F39BA"/>
    <w:rsid w:val="30391B88"/>
    <w:rsid w:val="35602270"/>
    <w:rsid w:val="377A25F9"/>
    <w:rsid w:val="3B4756B8"/>
    <w:rsid w:val="3E6A321B"/>
    <w:rsid w:val="44D70364"/>
    <w:rsid w:val="4C6360BE"/>
    <w:rsid w:val="4EBC5269"/>
    <w:rsid w:val="5257614B"/>
    <w:rsid w:val="54D44008"/>
    <w:rsid w:val="568420E4"/>
    <w:rsid w:val="5ABC3B17"/>
    <w:rsid w:val="5CA52205"/>
    <w:rsid w:val="5D6F0109"/>
    <w:rsid w:val="64700580"/>
    <w:rsid w:val="6D541B7D"/>
    <w:rsid w:val="6F166144"/>
    <w:rsid w:val="72E87C49"/>
    <w:rsid w:val="75F93477"/>
    <w:rsid w:val="76A67667"/>
    <w:rsid w:val="7A5B5283"/>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3"/>
    <w:qFormat/>
    <w:uiPriority w:val="0"/>
    <w:pPr>
      <w:ind w:firstLine="420" w:firstLineChars="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w:basedOn w:val="18"/>
    <w:link w:val="202"/>
    <w:qFormat/>
    <w:uiPriority w:val="0"/>
    <w:pPr>
      <w:spacing w:after="120" w:line="240" w:lineRule="auto"/>
      <w:ind w:firstLine="420" w:firstLineChars="100"/>
    </w:pPr>
    <w:rPr>
      <w:rFonts w:eastAsia="宋体"/>
      <w:sz w:val="21"/>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1 Char"/>
    <w:link w:val="3"/>
    <w:qFormat/>
    <w:uiPriority w:val="0"/>
    <w:rPr>
      <w:rFonts w:eastAsia="仿宋_GB2312"/>
      <w:b/>
      <w:kern w:val="44"/>
      <w:sz w:val="44"/>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rPr>
  </w:style>
  <w:style w:type="character" w:customStyle="1" w:styleId="56">
    <w:name w:val="标题 3 Char"/>
    <w:link w:val="5"/>
    <w:qFormat/>
    <w:uiPriority w:val="0"/>
    <w:rPr>
      <w:rFonts w:eastAsia="仿宋_GB2312"/>
      <w:b/>
      <w:kern w:val="2"/>
      <w:sz w:val="32"/>
    </w:rPr>
  </w:style>
  <w:style w:type="character" w:customStyle="1" w:styleId="57">
    <w:name w:val="标题 4 Char1"/>
    <w:link w:val="7"/>
    <w:qFormat/>
    <w:uiPriority w:val="0"/>
    <w:rPr>
      <w:rFonts w:ascii="Arial" w:hAnsi="Arial" w:eastAsia="黑体"/>
      <w:b/>
      <w:kern w:val="2"/>
      <w:sz w:val="28"/>
    </w:rPr>
  </w:style>
  <w:style w:type="character" w:customStyle="1" w:styleId="58">
    <w:name w:val="标题 5 Char1"/>
    <w:link w:val="8"/>
    <w:qFormat/>
    <w:uiPriority w:val="0"/>
    <w:rPr>
      <w:sz w:val="24"/>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6"/>
    <w:semiHidden/>
    <w:qFormat/>
    <w:uiPriority w:val="0"/>
    <w:rPr>
      <w:kern w:val="2"/>
      <w:sz w:val="18"/>
      <w:szCs w:val="18"/>
    </w:rPr>
  </w:style>
  <w:style w:type="character" w:customStyle="1" w:styleId="199">
    <w:name w:val="正文文本缩进 3 Char"/>
    <w:basedOn w:val="45"/>
    <w:link w:val="32"/>
    <w:qFormat/>
    <w:uiPriority w:val="0"/>
    <w:rPr>
      <w:kern w:val="2"/>
      <w:sz w:val="16"/>
      <w:szCs w:val="16"/>
    </w:rPr>
  </w:style>
  <w:style w:type="character" w:customStyle="1" w:styleId="200">
    <w:name w:val="HTML 预设格式 Char"/>
    <w:basedOn w:val="45"/>
    <w:link w:val="36"/>
    <w:qFormat/>
    <w:uiPriority w:val="0"/>
    <w:rPr>
      <w:rFonts w:ascii="黑体" w:hAnsi="Courier New" w:eastAsia="黑体" w:cs="Courier New"/>
    </w:rPr>
  </w:style>
  <w:style w:type="character" w:customStyle="1" w:styleId="201">
    <w:name w:val="批注主题 Char"/>
    <w:basedOn w:val="168"/>
    <w:link w:val="40"/>
    <w:semiHidden/>
    <w:qFormat/>
    <w:uiPriority w:val="0"/>
    <w:rPr>
      <w:rFonts w:eastAsia="宋体"/>
      <w:b/>
      <w:bCs/>
      <w:kern w:val="2"/>
      <w:sz w:val="24"/>
      <w:szCs w:val="24"/>
      <w:lang w:val="en-US" w:eastAsia="zh-CN" w:bidi="ar-SA"/>
    </w:rPr>
  </w:style>
  <w:style w:type="character" w:customStyle="1" w:styleId="202">
    <w:name w:val="正文首行缩进 Char"/>
    <w:basedOn w:val="163"/>
    <w:link w:val="41"/>
    <w:qFormat/>
    <w:uiPriority w:val="0"/>
    <w:rPr>
      <w:rFonts w:eastAsia="仿宋_GB2312"/>
      <w:kern w:val="2"/>
      <w:sz w:val="21"/>
      <w:szCs w:val="24"/>
      <w:lang w:val="en-US" w:eastAsia="zh-CN" w:bidi="ar-SA"/>
    </w:rPr>
  </w:style>
  <w:style w:type="character" w:customStyle="1" w:styleId="203">
    <w:name w:val="正文首行缩进 2 Char"/>
    <w:basedOn w:val="65"/>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table" w:customStyle="1" w:styleId="286">
    <w:name w:val="网格型1"/>
    <w:basedOn w:val="4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7">
    <w:name w:val="列表段落1"/>
    <w:basedOn w:val="1"/>
    <w:next w:val="18"/>
    <w:qFormat/>
    <w:uiPriority w:val="99"/>
    <w:pPr>
      <w:adjustRightInd w:val="0"/>
      <w:ind w:left="720"/>
      <w:contextualSpacing/>
    </w:pPr>
  </w:style>
  <w:style w:type="paragraph" w:customStyle="1" w:styleId="288">
    <w:name w:val="GP标题2"/>
    <w:basedOn w:val="1"/>
    <w:next w:val="1"/>
    <w:qFormat/>
    <w:uiPriority w:val="0"/>
    <w:pPr>
      <w:numPr>
        <w:ilvl w:val="1"/>
        <w:numId w:val="5"/>
      </w:numPr>
      <w:adjustRightInd w:val="0"/>
      <w:spacing w:beforeLines="50" w:afterLines="50" w:line="360" w:lineRule="auto"/>
      <w:jc w:val="left"/>
      <w:outlineLvl w:val="1"/>
    </w:pPr>
    <w:rPr>
      <w:rFonts w:ascii="仿宋" w:hAnsi="仿宋" w:eastAsia="仿宋"/>
      <w:b/>
      <w:sz w:val="32"/>
      <w:szCs w:val="21"/>
    </w:rPr>
  </w:style>
  <w:style w:type="paragraph" w:customStyle="1" w:styleId="289">
    <w:name w:val="GP标题3"/>
    <w:basedOn w:val="1"/>
    <w:next w:val="1"/>
    <w:qFormat/>
    <w:uiPriority w:val="0"/>
    <w:pPr>
      <w:numPr>
        <w:ilvl w:val="2"/>
        <w:numId w:val="5"/>
      </w:numPr>
      <w:adjustRightInd w:val="0"/>
      <w:spacing w:line="360" w:lineRule="auto"/>
      <w:outlineLvl w:val="2"/>
    </w:pPr>
    <w:rPr>
      <w:rFonts w:ascii="仿宋" w:hAnsi="仿宋" w:eastAsia="仿宋"/>
      <w:b/>
      <w:sz w:val="30"/>
      <w:szCs w:val="30"/>
    </w:rPr>
  </w:style>
  <w:style w:type="paragraph" w:customStyle="1" w:styleId="290">
    <w:name w:val="*正文"/>
    <w:basedOn w:val="1"/>
    <w:qFormat/>
    <w:uiPriority w:val="0"/>
    <w:pPr>
      <w:widowControl/>
      <w:adjustRightInd w:val="0"/>
      <w:ind w:firstLine="200" w:firstLineChars="200"/>
    </w:pPr>
    <w:rPr>
      <w:rFonts w:ascii="仿宋_GB2312"/>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82DC7C-50B7-4FDF-BF0E-8DFA0D243E8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89</Pages>
  <Words>49435</Words>
  <Characters>52697</Characters>
  <Lines>527</Lines>
  <Paragraphs>148</Paragraphs>
  <TotalTime>5</TotalTime>
  <ScaleCrop>false</ScaleCrop>
  <LinksUpToDate>false</LinksUpToDate>
  <CharactersWithSpaces>57570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2022-02-14T11:21:00Z</cp:lastPrinted>
  <dcterms:modified xsi:type="dcterms:W3CDTF">2022-12-01T03:10:58Z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A4762E87D915408B8EE08733F8F35BAC</vt:lpwstr>
  </property>
</Properties>
</file>