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highlight w:val="none"/>
        </w:rPr>
      </w:pPr>
    </w:p>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rPr>
        <w:t>绍兴市中医院</w:t>
      </w:r>
      <w:r>
        <w:rPr>
          <w:rFonts w:hint="eastAsia" w:ascii="仿宋" w:hAnsi="仿宋" w:eastAsia="仿宋" w:cs="仿宋"/>
          <w:b/>
          <w:spacing w:val="-12"/>
          <w:sz w:val="48"/>
          <w:szCs w:val="48"/>
          <w:highlight w:val="none"/>
          <w:lang w:eastAsia="zh-CN"/>
        </w:rPr>
        <w:t>处方信息流转及惠民平台信息系统改造服务项目</w:t>
      </w:r>
    </w:p>
    <w:p>
      <w:pPr>
        <w:outlineLvl w:val="0"/>
        <w:rPr>
          <w:rFonts w:hint="eastAsia" w:ascii="仿宋" w:hAnsi="仿宋" w:eastAsia="仿宋" w:cs="仿宋"/>
          <w:sz w:val="44"/>
          <w:highlight w:val="none"/>
        </w:rPr>
      </w:pPr>
    </w:p>
    <w:p>
      <w:pPr>
        <w:outlineLvl w:val="0"/>
        <w:rPr>
          <w:rFonts w:hint="eastAsia" w:ascii="仿宋" w:hAnsi="仿宋" w:eastAsia="仿宋" w:cs="仿宋"/>
          <w:sz w:val="44"/>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sz w:val="44"/>
          <w:highlight w:val="none"/>
        </w:rPr>
      </w:pPr>
    </w:p>
    <w:p>
      <w:pPr>
        <w:jc w:val="center"/>
        <w:outlineLvl w:val="0"/>
        <w:rPr>
          <w:rFonts w:hint="eastAsia" w:ascii="仿宋" w:hAnsi="仿宋" w:eastAsia="仿宋" w:cs="仿宋"/>
          <w:sz w:val="44"/>
          <w:highlight w:val="none"/>
        </w:rPr>
      </w:pPr>
    </w:p>
    <w:p>
      <w:pPr>
        <w:jc w:val="center"/>
        <w:outlineLvl w:val="0"/>
        <w:rPr>
          <w:rFonts w:hint="eastAsia" w:ascii="仿宋" w:hAnsi="仿宋" w:eastAsia="仿宋" w:cs="仿宋"/>
          <w:sz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bookmarkStart w:id="196" w:name="_GoBack"/>
      <w:bookmarkEnd w:id="196"/>
      <w:r>
        <w:rPr>
          <w:rFonts w:hint="eastAsia" w:ascii="仿宋" w:hAnsi="仿宋" w:eastAsia="仿宋" w:cs="仿宋"/>
          <w:b/>
          <w:sz w:val="28"/>
          <w:szCs w:val="28"/>
          <w:highlight w:val="none"/>
          <w:lang w:eastAsia="zh-CN"/>
        </w:rPr>
        <w:t>TYJZ2022074</w:t>
      </w:r>
    </w:p>
    <w:tbl>
      <w:tblPr>
        <w:tblStyle w:val="44"/>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二○二二年七月</w:t>
            </w:r>
          </w:p>
        </w:tc>
      </w:tr>
    </w:tbl>
    <w:p>
      <w:pPr>
        <w:jc w:val="center"/>
        <w:rPr>
          <w:rFonts w:hint="eastAsia" w:ascii="仿宋" w:hAnsi="仿宋" w:eastAsia="仿宋" w:cs="仿宋"/>
          <w:b/>
          <w:sz w:val="44"/>
          <w:szCs w:val="44"/>
          <w:highlight w:val="none"/>
        </w:rPr>
      </w:pPr>
    </w:p>
    <w:p>
      <w:pPr>
        <w:pageBreakBefore/>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tbl>
      <w:tblPr>
        <w:tblStyle w:val="44"/>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highlight w:val="none"/>
              </w:rPr>
            </w:pPr>
            <w:r>
              <w:rPr>
                <w:rFonts w:hint="eastAsia" w:ascii="仿宋" w:hAnsi="仿宋" w:eastAsia="仿宋" w:cs="仿宋"/>
                <w:highlight w:val="none"/>
              </w:rPr>
              <w:br w:type="page"/>
            </w:r>
          </w:p>
          <w:tbl>
            <w:tblPr>
              <w:tblStyle w:val="44"/>
              <w:tblW w:w="8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191" w:type="dxa"/>
                </w:tcPr>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项目概况：</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绍兴市中医院</w:t>
                  </w:r>
                  <w:r>
                    <w:rPr>
                      <w:rFonts w:hint="eastAsia" w:ascii="仿宋" w:hAnsi="仿宋" w:eastAsia="仿宋" w:cs="仿宋"/>
                      <w:szCs w:val="24"/>
                      <w:highlight w:val="none"/>
                      <w:lang w:eastAsia="zh-CN"/>
                    </w:rPr>
                    <w:t>处方信息流转及惠民平台信息系统改造服务项目</w:t>
                  </w:r>
                  <w:r>
                    <w:rPr>
                      <w:rFonts w:hint="eastAsia" w:ascii="仿宋" w:hAnsi="仿宋" w:eastAsia="仿宋" w:cs="仿宋"/>
                      <w:szCs w:val="24"/>
                      <w:highlight w:val="none"/>
                    </w:rPr>
                    <w:t>的潜在投标人应在</w:t>
                  </w:r>
                  <w:r>
                    <w:rPr>
                      <w:rStyle w:val="279"/>
                      <w:rFonts w:hint="eastAsia" w:ascii="仿宋" w:hAnsi="仿宋" w:eastAsia="仿宋" w:cs="仿宋"/>
                      <w:sz w:val="27"/>
                      <w:szCs w:val="27"/>
                      <w:highlight w:val="none"/>
                    </w:rPr>
                    <w:t>https://www.zcygov.cn</w:t>
                  </w:r>
                  <w:r>
                    <w:rPr>
                      <w:rFonts w:hint="eastAsia" w:ascii="仿宋" w:hAnsi="仿宋" w:eastAsia="仿宋" w:cs="仿宋"/>
                      <w:szCs w:val="24"/>
                      <w:highlight w:val="none"/>
                    </w:rPr>
                    <w:t>获取（下载）招标文件，并于2022年07月日 09:00（北京时间）前递交（上传）投标文件。</w:t>
                  </w:r>
                </w:p>
              </w:tc>
            </w:tr>
          </w:tbl>
          <w:p>
            <w:pPr>
              <w:pStyle w:val="70"/>
              <w:spacing w:afterLines="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一、项目基本情况</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项目编号：</w:t>
            </w:r>
            <w:r>
              <w:rPr>
                <w:rFonts w:hint="eastAsia" w:ascii="仿宋" w:hAnsi="仿宋" w:eastAsia="仿宋" w:cs="仿宋"/>
                <w:szCs w:val="24"/>
                <w:highlight w:val="none"/>
                <w:lang w:eastAsia="zh-CN"/>
              </w:rPr>
              <w:t>TYJZ2022074</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项目名称：绍兴市中医院</w:t>
            </w:r>
            <w:r>
              <w:rPr>
                <w:rFonts w:hint="eastAsia" w:ascii="仿宋" w:hAnsi="仿宋" w:eastAsia="仿宋" w:cs="仿宋"/>
                <w:szCs w:val="24"/>
                <w:highlight w:val="none"/>
                <w:lang w:eastAsia="zh-CN"/>
              </w:rPr>
              <w:t>处方信息流转及惠民平台信息系统改造服务项目</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采购方式：公开招标</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预算金额（元）：</w:t>
            </w:r>
            <w:r>
              <w:rPr>
                <w:rFonts w:hint="eastAsia" w:ascii="仿宋" w:hAnsi="仿宋" w:eastAsia="仿宋" w:cs="仿宋"/>
                <w:szCs w:val="24"/>
                <w:highlight w:val="none"/>
                <w:lang w:eastAsia="zh-CN"/>
              </w:rPr>
              <w:t>230000</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最高限价（元）：</w:t>
            </w:r>
            <w:r>
              <w:rPr>
                <w:rFonts w:hint="eastAsia" w:ascii="仿宋" w:hAnsi="仿宋" w:eastAsia="仿宋" w:cs="仿宋"/>
                <w:szCs w:val="24"/>
                <w:highlight w:val="none"/>
                <w:lang w:eastAsia="zh-CN"/>
              </w:rPr>
              <w:t>230000</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采购需求：</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标项一:</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标项名称:绍兴市中医院</w:t>
            </w:r>
            <w:r>
              <w:rPr>
                <w:rFonts w:hint="eastAsia" w:ascii="仿宋" w:hAnsi="仿宋" w:eastAsia="仿宋" w:cs="仿宋"/>
                <w:szCs w:val="24"/>
                <w:highlight w:val="none"/>
                <w:lang w:eastAsia="zh-CN"/>
              </w:rPr>
              <w:t>处方信息流转及惠民平台信息系统改造服务项目</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数量:1</w:t>
            </w:r>
          </w:p>
          <w:p>
            <w:pPr>
              <w:pStyle w:val="70"/>
              <w:spacing w:afterLines="0" w:line="440" w:lineRule="exact"/>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预算金额（元）:</w:t>
            </w:r>
            <w:r>
              <w:rPr>
                <w:rFonts w:hint="eastAsia" w:ascii="仿宋" w:hAnsi="仿宋" w:eastAsia="仿宋" w:cs="仿宋"/>
                <w:szCs w:val="24"/>
                <w:highlight w:val="none"/>
                <w:lang w:eastAsia="zh-CN"/>
              </w:rPr>
              <w:t>230000</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简要规格描述或项目基本概况介绍、用途：详见采购文件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备注：无</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合同履约期限：详见招标文件。</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本项目（是）接受联合体投标。</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二、申请人的资格要求：</w:t>
            </w:r>
          </w:p>
          <w:p>
            <w:pPr>
              <w:pStyle w:val="70"/>
              <w:spacing w:after="12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2.落实政府采购政策需满足的资格要求：</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highlight w:val="none"/>
              </w:rPr>
              <w:sym w:font="Wingdings" w:char="F0FE"/>
            </w:r>
            <w:r>
              <w:rPr>
                <w:rFonts w:hint="eastAsia" w:ascii="仿宋" w:hAnsi="仿宋" w:eastAsia="仿宋" w:cs="仿宋"/>
                <w:highlight w:val="none"/>
              </w:rPr>
              <w:t>无；</w:t>
            </w:r>
          </w:p>
          <w:p>
            <w:pPr>
              <w:spacing w:line="360" w:lineRule="auto"/>
              <w:ind w:firstLine="480" w:firstLineChars="200"/>
              <w:rPr>
                <w:rFonts w:hint="eastAsia" w:ascii="仿宋" w:hAnsi="仿宋" w:eastAsia="仿宋" w:cs="仿宋"/>
                <w:sz w:val="24"/>
                <w:highlight w:val="none"/>
              </w:rPr>
            </w:pPr>
            <w:sdt>
              <w:sdtPr>
                <w:rPr>
                  <w:rFonts w:hint="eastAsia" w:ascii="仿宋" w:hAnsi="仿宋" w:eastAsia="仿宋" w:cs="仿宋"/>
                  <w:kern w:val="0"/>
                  <w:sz w:val="24"/>
                  <w:highlight w:val="none"/>
                </w:rPr>
                <w:id w:val="14289630"/>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32365989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09"/>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30690290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1"/>
                  </w:sdtPr>
                  <w:sdtEndPr>
                    <w:rPr>
                      <w:rFonts w:hint="eastAsia" w:ascii="仿宋" w:hAnsi="仿宋" w:eastAsia="仿宋" w:cs="仿宋"/>
                      <w:kern w:val="0"/>
                      <w:sz w:val="24"/>
                      <w:highlight w:val="none"/>
                    </w:rPr>
                  </w:sdtEndPr>
                  <w:sdtContent>
                    <w:sdt>
                      <w:sdtPr>
                        <w:rPr>
                          <w:rFonts w:hint="eastAsia" w:ascii="仿宋" w:hAnsi="仿宋" w:eastAsia="仿宋" w:cs="仿宋"/>
                          <w:highlight w:val="none"/>
                        </w:rPr>
                        <w:id w:val="725337177"/>
                      </w:sdtPr>
                      <w:sdtEndPr>
                        <w:rPr>
                          <w:rFonts w:hint="eastAsia" w:ascii="仿宋" w:hAnsi="仿宋" w:eastAsia="仿宋" w:cs="仿宋"/>
                          <w:highlight w:val="none"/>
                        </w:rPr>
                      </w:sdtEndPr>
                      <w:sdtContent>
                        <w:sdt>
                          <w:sdtPr>
                            <w:rPr>
                              <w:rFonts w:hint="eastAsia" w:ascii="仿宋" w:hAnsi="仿宋" w:eastAsia="仿宋" w:cs="仿宋"/>
                              <w:kern w:val="0"/>
                              <w:sz w:val="24"/>
                              <w:highlight w:val="none"/>
                            </w:rPr>
                            <w:id w:val="14289631"/>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sdtContent>
                </w:sdt>
              </w:sdtContent>
            </w:sdt>
            <w:r>
              <w:rPr>
                <w:rFonts w:hint="eastAsia" w:ascii="仿宋" w:hAnsi="仿宋" w:eastAsia="仿宋" w:cs="仿宋"/>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sz w:val="24"/>
                <w:highlight w:val="none"/>
              </w:rPr>
            </w:pPr>
            <w:sdt>
              <w:sdtPr>
                <w:rPr>
                  <w:rFonts w:hint="eastAsia" w:ascii="仿宋" w:hAnsi="仿宋" w:eastAsia="仿宋" w:cs="仿宋"/>
                  <w:kern w:val="0"/>
                  <w:sz w:val="24"/>
                  <w:highlight w:val="none"/>
                </w:rPr>
                <w:id w:val="-469594122"/>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3"/>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sz w:val="24"/>
                <w:highlight w:val="none"/>
              </w:rPr>
            </w:pPr>
            <w:sdt>
              <w:sdtPr>
                <w:rPr>
                  <w:rFonts w:hint="eastAsia" w:ascii="仿宋" w:hAnsi="仿宋" w:eastAsia="仿宋" w:cs="仿宋"/>
                  <w:kern w:val="0"/>
                  <w:sz w:val="24"/>
                  <w:highlight w:val="none"/>
                </w:rPr>
                <w:id w:val="603697228"/>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highlight w:val="none"/>
              </w:rPr>
              <w:t>；</w:t>
            </w:r>
          </w:p>
          <w:p>
            <w:pPr>
              <w:spacing w:line="360" w:lineRule="auto"/>
              <w:ind w:firstLine="480" w:firstLineChars="200"/>
              <w:rPr>
                <w:rFonts w:hint="eastAsia" w:ascii="仿宋" w:hAnsi="仿宋" w:eastAsia="仿宋" w:cs="仿宋"/>
                <w:sz w:val="24"/>
                <w:highlight w:val="none"/>
              </w:rPr>
            </w:pPr>
            <w:sdt>
              <w:sdtPr>
                <w:rPr>
                  <w:rFonts w:hint="eastAsia" w:ascii="仿宋" w:hAnsi="仿宋" w:eastAsia="仿宋" w:cs="仿宋"/>
                  <w:kern w:val="0"/>
                  <w:sz w:val="24"/>
                  <w:highlight w:val="none"/>
                </w:rPr>
                <w:id w:val="34630645"/>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27956551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sz w:val="24"/>
                <w:highlight w:val="none"/>
              </w:rPr>
              <w:t>；</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3.本项目的特定资格要求：无</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三、获取招标文件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时间：/至2022年月日，每天上午00:00至12:00，下午12:00至23:59（北京时间，线上获取法定节假日均可，线下获取文件法定节假日除外）</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方式：</w:t>
            </w:r>
            <w:r>
              <w:rPr>
                <w:rFonts w:hint="eastAsia" w:ascii="仿宋" w:hAnsi="仿宋" w:eastAsia="仿宋" w:cs="仿宋"/>
                <w:bCs/>
                <w:highlight w:val="none"/>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售价（元）：0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四、提交投标文件截止时间、开标时间和地点</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提交投标文件截止时间：2022年月日 09:00（北京时间）</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投标地点（网址）：</w:t>
            </w:r>
            <w:r>
              <w:rPr>
                <w:rFonts w:hint="eastAsia" w:ascii="仿宋" w:hAnsi="仿宋" w:eastAsia="仿宋" w:cs="仿宋"/>
                <w:bCs/>
                <w:highlight w:val="none"/>
              </w:rPr>
              <w:t>http://www.zcygov.cn/</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开标时间：2022年月日 09:00</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开标地点（网址）：</w:t>
            </w:r>
            <w:r>
              <w:rPr>
                <w:rFonts w:hint="eastAsia" w:ascii="仿宋" w:hAnsi="仿宋" w:eastAsia="仿宋" w:cs="仿宋"/>
                <w:highlight w:val="none"/>
              </w:rPr>
              <w:t>绍兴市越城区朝皇路58号正大综合楼601泰宇咨询会议室</w:t>
            </w:r>
            <w:r>
              <w:rPr>
                <w:rFonts w:hint="eastAsia" w:ascii="仿宋" w:hAnsi="仿宋" w:eastAsia="仿宋" w:cs="仿宋"/>
                <w:szCs w:val="24"/>
                <w:highlight w:val="none"/>
              </w:rPr>
              <w:t>，在政府采购云平台（www.zcygov.cn）上开启响应文件。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五、公告期限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自本公告发布之日起5个工作日。</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六、其他补充事宜</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2.其他事项：</w:t>
            </w:r>
            <w:r>
              <w:rPr>
                <w:rFonts w:hint="eastAsia" w:ascii="仿宋" w:hAnsi="仿宋" w:eastAsia="仿宋" w:cs="仿宋"/>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highlight w:val="none"/>
              </w:rPr>
              <w:t>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七、对本次采购提出询问、质疑、投诉，请按以下方式联系</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1.采购人信息</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名称：绍兴市中医院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w:t>
            </w:r>
            <w:r>
              <w:rPr>
                <w:rFonts w:hint="eastAsia" w:ascii="仿宋" w:hAnsi="仿宋" w:eastAsia="仿宋" w:cs="仿宋"/>
                <w:highlight w:val="none"/>
              </w:rPr>
              <w:t>绍兴市越城区人民中路651号</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传真：/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项目联系人（询问）：王宁</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质疑联系人： 沈勇</w:t>
            </w:r>
          </w:p>
          <w:p>
            <w:pPr>
              <w:widowControl/>
              <w:snapToGrid w:val="0"/>
              <w:spacing w:line="440" w:lineRule="exact"/>
              <w:ind w:firstLine="480" w:firstLineChars="200"/>
              <w:rPr>
                <w:rFonts w:hint="eastAsia" w:ascii="仿宋" w:hAnsi="仿宋" w:eastAsia="仿宋" w:cs="仿宋"/>
                <w:highlight w:val="none"/>
              </w:rPr>
            </w:pPr>
            <w:r>
              <w:rPr>
                <w:rFonts w:hint="eastAsia" w:ascii="仿宋" w:hAnsi="仿宋" w:eastAsia="仿宋" w:cs="仿宋"/>
                <w:kern w:val="0"/>
                <w:sz w:val="24"/>
                <w:highlight w:val="none"/>
              </w:rPr>
              <w:t>质疑联系方式：0575-89107189</w:t>
            </w:r>
            <w:r>
              <w:rPr>
                <w:rFonts w:hint="eastAsia" w:ascii="仿宋" w:hAnsi="仿宋" w:eastAsia="仿宋" w:cs="仿宋"/>
                <w:highlight w:val="none"/>
              </w:rPr>
              <w:t> </w:t>
            </w:r>
          </w:p>
          <w:p>
            <w:pPr>
              <w:pStyle w:val="70"/>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2.采购代理机构信息       </w:t>
            </w:r>
            <w:r>
              <w:rPr>
                <w:rFonts w:hint="eastAsia" w:ascii="仿宋" w:hAnsi="仿宋" w:eastAsia="仿宋" w:cs="仿宋"/>
                <w:highlight w:val="none"/>
              </w:rPr>
              <w:t xml:space="preserve">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传真：/</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质疑联系人：胡泽宇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highlight w:val="none"/>
              </w:rPr>
              <w:t>质疑联系方式：0575-85080066</w:t>
            </w:r>
            <w:r>
              <w:rPr>
                <w:rFonts w:hint="eastAsia" w:ascii="仿宋" w:hAnsi="仿宋" w:eastAsia="仿宋" w:cs="仿宋"/>
                <w:szCs w:val="24"/>
                <w:highlight w:val="none"/>
              </w:rPr>
              <w:t>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3.同级政府采购监督管理部门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名称：绍兴市财政局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地址：绍兴市越城区凤林西路151号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传真：0575-85209697       </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联系人 ：宋晓林       </w:t>
            </w:r>
          </w:p>
          <w:p>
            <w:pPr>
              <w:pStyle w:val="70"/>
              <w:spacing w:afterLines="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监督投诉电话：0575-85209697    </w:t>
            </w:r>
          </w:p>
          <w:p>
            <w:pPr>
              <w:pStyle w:val="70"/>
              <w:spacing w:afterLines="0" w:line="440" w:lineRule="exact"/>
              <w:ind w:firstLine="480"/>
              <w:jc w:val="left"/>
              <w:rPr>
                <w:rFonts w:hint="eastAsia" w:ascii="仿宋" w:hAnsi="仿宋" w:eastAsia="仿宋" w:cs="仿宋"/>
                <w:szCs w:val="24"/>
                <w:highlight w:val="none"/>
              </w:rPr>
            </w:pPr>
            <w:r>
              <w:rPr>
                <w:rFonts w:hint="eastAsia" w:ascii="仿宋" w:hAnsi="仿宋" w:eastAsia="仿宋" w:cs="仿宋"/>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CA问题联系电话（人工）：汇信CA 400-888-4636；天谷CA 400-087-8198。</w:t>
            </w:r>
          </w:p>
        </w:tc>
      </w:tr>
    </w:tbl>
    <w:p>
      <w:pPr>
        <w:widowControl/>
        <w:jc w:val="left"/>
        <w:rPr>
          <w:rFonts w:hint="eastAsia" w:ascii="仿宋" w:hAnsi="仿宋" w:eastAsia="仿宋" w:cs="仿宋"/>
          <w:kern w:val="0"/>
          <w:sz w:val="24"/>
          <w:highlight w:val="none"/>
        </w:rPr>
      </w:pPr>
      <w:r>
        <w:rPr>
          <w:rFonts w:hint="eastAsia" w:ascii="仿宋" w:hAnsi="仿宋" w:eastAsia="仿宋" w:cs="仿宋"/>
          <w:highlight w:val="none"/>
        </w:rPr>
        <w:br w:type="page"/>
      </w: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1" w:type="dxa"/>
            <w:gridSpan w:val="2"/>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投标人应当提交的资格、资信证明文件</w:t>
            </w:r>
            <w:r>
              <w:rPr>
                <w:rFonts w:hint="eastAsia" w:ascii="仿宋" w:hAnsi="仿宋" w:eastAsia="仿宋" w:cs="仿宋"/>
                <w:sz w:val="24"/>
                <w:highlight w:val="none"/>
              </w:rPr>
              <w:t>：</w:t>
            </w:r>
          </w:p>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（1）相关证明文件：</w:t>
            </w:r>
            <w:r>
              <w:rPr>
                <w:rFonts w:hint="eastAsia" w:ascii="仿宋" w:hAnsi="仿宋" w:eastAsia="仿宋" w:cs="仿宋"/>
                <w:sz w:val="24"/>
                <w:highlight w:val="none"/>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（2）资信证明文件（如果有，按招标文件第三部分招标项目范围及要求和第五部分评分标准提供）。</w:t>
            </w:r>
          </w:p>
          <w:p>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（3）特许资格、资信证明文件（如果有）：</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1"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1" w:type="dxa"/>
            <w:gridSpan w:val="2"/>
            <w:vAlign w:val="center"/>
          </w:tcPr>
          <w:p>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1" w:type="dxa"/>
            <w:gridSpan w:val="2"/>
            <w:vAlign w:val="center"/>
          </w:tcPr>
          <w:p>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26322061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hint="eastAsia" w:ascii="仿宋" w:hAnsi="仿宋" w:eastAsia="仿宋" w:cs="仿宋"/>
                <w:b/>
                <w:sz w:val="24"/>
                <w:highlight w:val="none"/>
              </w:rPr>
            </w:pPr>
            <w:sdt>
              <w:sdtPr>
                <w:rPr>
                  <w:rFonts w:hint="eastAsia" w:ascii="仿宋" w:hAnsi="仿宋" w:eastAsia="仿宋" w:cs="仿宋"/>
                  <w:kern w:val="0"/>
                  <w:sz w:val="24"/>
                  <w:highlight w:val="none"/>
                </w:rPr>
                <w:id w:val="-94006690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1"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8838549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1026831988"/>
              </w:sdtPr>
              <w:sdtEndPr>
                <w:rPr>
                  <w:rFonts w:hint="eastAsia" w:ascii="仿宋" w:hAnsi="仿宋" w:eastAsia="仿宋" w:cs="仿宋"/>
                  <w:kern w:val="0"/>
                  <w:sz w:val="24"/>
                  <w:highlight w:val="none"/>
                </w:rPr>
              </w:sdtEndPr>
              <w:sdtContent/>
            </w:sdt>
            <w:sdt>
              <w:sdtPr>
                <w:rPr>
                  <w:rFonts w:hint="eastAsia" w:ascii="仿宋" w:hAnsi="仿宋" w:eastAsia="仿宋" w:cs="仿宋"/>
                  <w:kern w:val="0"/>
                  <w:sz w:val="24"/>
                  <w:highlight w:val="none"/>
                </w:rPr>
                <w:id w:val="51859545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B要求提供，</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sdt>
              <w:sdtPr>
                <w:rPr>
                  <w:rFonts w:hint="eastAsia" w:ascii="仿宋" w:hAnsi="仿宋" w:eastAsia="仿宋" w:cs="仿宋"/>
                  <w:kern w:val="0"/>
                  <w:sz w:val="24"/>
                  <w:highlight w:val="none"/>
                </w:rPr>
                <w:id w:val="130342145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A8"/>
                </w:r>
              </w:sdtContent>
            </w:sdt>
            <w:r>
              <w:rPr>
                <w:rFonts w:hint="eastAsia" w:ascii="仿宋" w:hAnsi="仿宋" w:eastAsia="仿宋" w:cs="仿宋"/>
                <w:kern w:val="0"/>
                <w:sz w:val="24"/>
                <w:highlight w:val="none"/>
              </w:rPr>
              <w:t>否；</w:t>
            </w:r>
            <w:sdt>
              <w:sdtPr>
                <w:rPr>
                  <w:rFonts w:hint="eastAsia" w:ascii="仿宋" w:hAnsi="仿宋" w:eastAsia="仿宋" w:cs="仿宋"/>
                  <w:kern w:val="0"/>
                  <w:sz w:val="24"/>
                  <w:highlight w:val="none"/>
                </w:rPr>
                <w:id w:val="1621728433"/>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41474232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sdtContent>
            </w:sdt>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1"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演示(讲解)：</w:t>
            </w:r>
            <w:r>
              <w:rPr>
                <w:rFonts w:hint="eastAsia" w:ascii="仿宋" w:hAnsi="仿宋" w:eastAsia="仿宋" w:cs="仿宋"/>
                <w:kern w:val="0"/>
                <w:sz w:val="24"/>
                <w:highlight w:val="none"/>
              </w:rPr>
              <w:t>无</w:t>
            </w:r>
            <w:r>
              <w:rPr>
                <w:rFonts w:hint="eastAsia" w:ascii="仿宋" w:hAnsi="仿宋" w:eastAsia="仿宋" w:cs="仿宋"/>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6" w:type="dxa"/>
            <w:vAlign w:val="center"/>
          </w:tcPr>
          <w:p>
            <w:pPr>
              <w:spacing w:line="360" w:lineRule="auto"/>
              <w:rPr>
                <w:rFonts w:hint="eastAsia" w:ascii="仿宋" w:hAnsi="仿宋" w:eastAsia="仿宋" w:cs="仿宋"/>
                <w:kern w:val="0"/>
                <w:sz w:val="24"/>
                <w:highlight w:val="none"/>
              </w:rPr>
            </w:pPr>
            <w:sdt>
              <w:sdtPr>
                <w:rPr>
                  <w:rFonts w:hint="eastAsia" w:ascii="仿宋" w:hAnsi="仿宋" w:eastAsia="仿宋" w:cs="仿宋"/>
                  <w:kern w:val="0"/>
                  <w:sz w:val="24"/>
                  <w:highlight w:val="none"/>
                </w:rPr>
                <w:id w:val="-75181343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F0FE"/>
                </w:r>
              </w:sdtContent>
            </w:sdt>
            <w:r>
              <w:rPr>
                <w:rFonts w:hint="eastAsia" w:ascii="仿宋" w:hAnsi="仿宋" w:eastAsia="仿宋" w:cs="仿宋"/>
                <w:kern w:val="0"/>
                <w:sz w:val="24"/>
                <w:highlight w:val="none"/>
              </w:rPr>
              <w:t>本项目不允许采购进口产品。</w:t>
            </w:r>
          </w:p>
          <w:p>
            <w:pPr>
              <w:snapToGrid w:val="0"/>
              <w:spacing w:line="440" w:lineRule="exact"/>
              <w:rPr>
                <w:rFonts w:hint="eastAsia" w:ascii="仿宋" w:hAnsi="仿宋" w:eastAsia="仿宋" w:cs="仿宋"/>
                <w:b/>
                <w:sz w:val="24"/>
                <w:highlight w:val="none"/>
              </w:rPr>
            </w:pPr>
            <w:sdt>
              <w:sdtPr>
                <w:rPr>
                  <w:rFonts w:hint="eastAsia" w:ascii="仿宋" w:hAnsi="仿宋" w:eastAsia="仿宋" w:cs="仿宋"/>
                  <w:kern w:val="0"/>
                  <w:sz w:val="24"/>
                  <w:highlight w:val="none"/>
                </w:rPr>
                <w:id w:val="-833212847"/>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6" w:type="dxa"/>
            <w:vAlign w:val="center"/>
          </w:tcPr>
          <w:p>
            <w:pPr>
              <w:spacing w:line="360" w:lineRule="auto"/>
              <w:rPr>
                <w:rFonts w:hint="eastAsia" w:ascii="仿宋" w:hAnsi="仿宋" w:eastAsia="仿宋" w:cs="仿宋"/>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napToGrid w:val="0"/>
              <w:spacing w:line="440" w:lineRule="exact"/>
              <w:rPr>
                <w:rFonts w:hint="eastAsia" w:ascii="仿宋" w:hAnsi="仿宋" w:eastAsia="仿宋" w:cs="仿宋"/>
                <w:sz w:val="24"/>
                <w:highlight w:val="none"/>
              </w:rPr>
            </w:pPr>
            <w:sdt>
              <w:sdtPr>
                <w:rPr>
                  <w:rFonts w:hint="eastAsia" w:ascii="仿宋" w:hAnsi="仿宋" w:eastAsia="仿宋" w:cs="仿宋"/>
                  <w:kern w:val="0"/>
                  <w:sz w:val="24"/>
                  <w:highlight w:val="none"/>
                </w:rPr>
                <w:id w:val="474885559"/>
              </w:sdtPr>
              <w:sdtEndPr>
                <w:rPr>
                  <w:rFonts w:hint="eastAsia" w:ascii="仿宋" w:hAnsi="仿宋" w:eastAsia="仿宋" w:cs="仿宋"/>
                  <w:kern w:val="0"/>
                  <w:sz w:val="24"/>
                  <w:highlight w:val="none"/>
                </w:rPr>
              </w:sdtEndPr>
              <w:sdtContent>
                <w:sdt>
                  <w:sdtPr>
                    <w:rPr>
                      <w:rFonts w:hint="eastAsia" w:ascii="仿宋" w:hAnsi="仿宋" w:eastAsia="仿宋" w:cs="仿宋"/>
                      <w:kern w:val="0"/>
                      <w:sz w:val="24"/>
                      <w:highlight w:val="none"/>
                    </w:rPr>
                    <w:id w:val="118727868"/>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FE"/>
                    </w:r>
                  </w:sdtContent>
                </w:sdt>
              </w:sdtContent>
            </w:sdt>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371" w:type="dxa"/>
            <w:gridSpan w:val="2"/>
            <w:vAlign w:val="center"/>
          </w:tcPr>
          <w:p>
            <w:pPr>
              <w:snapToGrid w:val="0"/>
              <w:ind w:left="-18" w:leftChars="-9" w:right="-50" w:rightChars="-24" w:hanging="1"/>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p>
            <w:pPr>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01标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6"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6"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6" w:type="dxa"/>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1"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1"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《CA申领操作指南》：https://help.zcygov.cn/web/site_2/2018/11-29/2452.html</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《CA管理操作指南》：https://help.zcygov.cn/web/site_2/2019/08-20/3405.html</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《CA驱动和申领流程》:</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http://zfcg.czt.zj.gov.cn//bidClientTemplate/2019-05-27/12945.html</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"https://help.zcygov.cn/web/site_2/2018/12-28/2573.html" </w:instrText>
            </w:r>
            <w:r>
              <w:rPr>
                <w:rFonts w:hint="eastAsia" w:ascii="仿宋" w:hAnsi="仿宋" w:eastAsia="仿宋" w:cs="仿宋"/>
                <w:highlight w:val="none"/>
              </w:rPr>
              <w:fldChar w:fldCharType="separate"/>
            </w:r>
            <w:r>
              <w:rPr>
                <w:rStyle w:val="51"/>
                <w:rFonts w:hint="eastAsia" w:ascii="仿宋" w:hAnsi="仿宋" w:eastAsia="仿宋" w:cs="仿宋"/>
                <w:color w:val="auto"/>
                <w:sz w:val="24"/>
                <w:highlight w:val="none"/>
              </w:rPr>
              <w:t>https://help.zcygov.cn/web/site_2/2018/12-28/2573.html</w:t>
            </w:r>
            <w:r>
              <w:rPr>
                <w:rStyle w:val="51"/>
                <w:rFonts w:hint="eastAsia" w:ascii="仿宋" w:hAnsi="仿宋" w:eastAsia="仿宋" w:cs="仿宋"/>
                <w:color w:val="auto"/>
                <w:sz w:val="24"/>
                <w:highlight w:val="none"/>
              </w:rPr>
              <w:fldChar w:fldCharType="end"/>
            </w:r>
            <w:r>
              <w:rPr>
                <w:rFonts w:hint="eastAsia" w:ascii="仿宋" w:hAnsi="仿宋" w:eastAsia="仿宋" w:cs="仿宋"/>
                <w:sz w:val="24"/>
                <w:highlight w:val="none"/>
              </w:rPr>
              <w:t>”。</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1" w:type="dxa"/>
            <w:gridSpan w:val="2"/>
            <w:vAlign w:val="center"/>
          </w:tcPr>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采购代理服务费：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（2）代理服务费的交纳方式：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公司名称：泰宇建筑工程技术咨询有限公司绍兴分公司</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账号: 85010078801000000518</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开户银行:上海浦东发展银行绍兴分行</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绍兴市中医院为本项目的采购人（合同中的甲方），泰宇建筑工程技术咨询有限公司为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2.5“授权代表”系指法定代表人的被授权委托人。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highlight w:val="none"/>
          </w:rPr>
          <w:id w:val="512970236"/>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 系指适用本项目的要求，“</w:t>
      </w:r>
      <w:sdt>
        <w:sdtPr>
          <w:rPr>
            <w:rFonts w:hint="eastAsia" w:ascii="仿宋" w:hAnsi="仿宋" w:eastAsia="仿宋" w:cs="仿宋"/>
            <w:kern w:val="0"/>
            <w:sz w:val="24"/>
            <w:highlight w:val="none"/>
          </w:rPr>
          <w:id w:val="404888855"/>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z w:val="24"/>
          <w:highlight w:val="none"/>
        </w:rPr>
        <w:t>” 系指不适用本项目的要求。</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5"/>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5"/>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5"/>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5"/>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5"/>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三、投标文件</w:t>
      </w:r>
    </w:p>
    <w:p>
      <w:pPr>
        <w:numPr>
          <w:ilvl w:val="0"/>
          <w:numId w:val="5"/>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投标文件由“报价文件资料”、“商务技术（资信）文件资料”两部分组成，其中</w:t>
      </w:r>
      <w:r>
        <w:rPr>
          <w:rFonts w:hint="eastAsia" w:ascii="仿宋" w:hAnsi="仿宋" w:eastAsia="仿宋" w:cs="仿宋"/>
          <w:b/>
          <w:sz w:val="24"/>
          <w:highlight w:val="none"/>
        </w:rPr>
        <w:t>电子投标文件中所须加盖公章部分均应采用电子签章。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25"/>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2.1.3中小企业声明函（如有，格式见第六部分附件）；</w:t>
      </w:r>
    </w:p>
    <w:p>
      <w:pPr>
        <w:pStyle w:val="25"/>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2.2.4相关资质证明或文件复印件（均需加盖公章）：</w:t>
      </w:r>
      <w:r>
        <w:rPr>
          <w:rFonts w:hint="eastAsia" w:ascii="仿宋" w:hAnsi="仿宋" w:eastAsia="仿宋" w:cs="仿宋"/>
          <w:kern w:val="0"/>
          <w:sz w:val="24"/>
          <w:highlight w:val="none"/>
        </w:rPr>
        <w:t>证明其符合《中华人民共和国政府采购法》规定的供应商基本条件和采购项目对供应商的特定要求</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p>
    <w:p>
      <w:pPr>
        <w:pStyle w:val="24"/>
        <w:spacing w:line="440" w:lineRule="exact"/>
        <w:ind w:firstLine="480" w:firstLineChars="200"/>
        <w:rPr>
          <w:rFonts w:hint="eastAsia" w:ascii="仿宋" w:hAnsi="仿宋" w:eastAsia="仿宋" w:cs="仿宋"/>
          <w:sz w:val="24"/>
          <w:highlight w:val="none"/>
        </w:rPr>
      </w:pPr>
      <w:bookmarkStart w:id="1" w:name="_Hlt68073093"/>
      <w:bookmarkEnd w:id="1"/>
      <w:bookmarkStart w:id="2" w:name="_Hlt68403820"/>
      <w:bookmarkEnd w:id="2"/>
      <w:bookmarkStart w:id="3" w:name="_Hlt68072998"/>
      <w:bookmarkEnd w:id="3"/>
      <w:r>
        <w:rPr>
          <w:rFonts w:hint="eastAsia" w:ascii="仿宋" w:hAnsi="仿宋" w:eastAsia="仿宋" w:cs="仿宋"/>
          <w:sz w:val="24"/>
          <w:highlight w:val="none"/>
        </w:rPr>
        <w:t>（1）营业执照(或事业法人登记证或其他工商等登记证明材料)复印件，实施“五证合一、一照一码”登记制度改革的，只需提供改革后取得的营业执照复印件 ；</w:t>
      </w:r>
    </w:p>
    <w:p>
      <w:pPr>
        <w:pStyle w:val="24"/>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（2）2021年度资产负债表等财务报表资料文件(新成立的公司提供情况证明)；</w:t>
      </w:r>
    </w:p>
    <w:p>
      <w:pPr>
        <w:pStyle w:val="24"/>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（3）具有履行合同所必需的设备和专业技术能力的承诺函；</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（4）参加本次政府采购活动前三年内，在经营活动中没有重大违法记录的声明；</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rPr>
        <w:t>(6</w:t>
      </w:r>
      <w:r>
        <w:rPr>
          <w:rFonts w:hint="eastAsia" w:ascii="仿宋" w:hAnsi="仿宋" w:eastAsia="仿宋" w:cs="仿宋"/>
          <w:sz w:val="24"/>
          <w:highlight w:val="none"/>
        </w:rPr>
        <w:t>)</w:t>
      </w:r>
      <w:r>
        <w:rPr>
          <w:rFonts w:hint="eastAsia" w:ascii="仿宋" w:hAnsi="仿宋" w:eastAsia="仿宋" w:cs="仿宋"/>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w:t>
      </w:r>
      <w:r>
        <w:rPr>
          <w:rFonts w:hint="eastAsia" w:ascii="仿宋" w:hAnsi="仿宋" w:eastAsia="仿宋" w:cs="仿宋"/>
          <w:sz w:val="24"/>
          <w:highlight w:val="none"/>
        </w:rPr>
        <w:t>)符合特定资格条件（如果项目要求）的有关证明材料（复印件）；</w:t>
      </w:r>
    </w:p>
    <w:p>
      <w:pPr>
        <w:pStyle w:val="24"/>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2.2.5</w:t>
      </w:r>
      <w:r>
        <w:rPr>
          <w:rFonts w:hint="eastAsia" w:ascii="仿宋" w:hAnsi="仿宋" w:eastAsia="仿宋" w:cs="仿宋"/>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（所有技术指标表述均应采用中文，如当前公布的技术指标只有英文表述的，必须由投标人作出中文注释，否则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2.2.8</w:t>
      </w:r>
      <w:r>
        <w:rPr>
          <w:rFonts w:hint="eastAsia" w:ascii="仿宋" w:hAnsi="仿宋" w:eastAsia="仿宋" w:cs="仿宋"/>
          <w:sz w:val="24"/>
          <w:highlight w:val="none"/>
        </w:rPr>
        <w:t>投标人在投标文件技术偏离说明表中，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2.2.13</w:t>
      </w:r>
      <w:r>
        <w:rPr>
          <w:rFonts w:hint="eastAsia" w:ascii="仿宋" w:hAnsi="仿宋" w:eastAsia="仿宋" w:cs="仿宋"/>
          <w:kern w:val="0"/>
          <w:sz w:val="24"/>
          <w:highlight w:val="none"/>
          <w:lang w:val="zh-CN"/>
        </w:rPr>
        <w:t>培训计划；（如果有）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2.2.14 验收方案；</w:t>
      </w:r>
    </w:p>
    <w:p>
      <w:pPr>
        <w:snapToGrid w:val="0"/>
        <w:spacing w:line="440" w:lineRule="exact"/>
        <w:rPr>
          <w:rFonts w:hint="eastAsia" w:ascii="仿宋" w:hAnsi="仿宋" w:eastAsia="仿宋" w:cs="仿宋"/>
          <w:sz w:val="24"/>
          <w:highlight w:val="none"/>
          <w:lang w:val="zh-CN"/>
        </w:rPr>
      </w:pPr>
      <w:r>
        <w:rPr>
          <w:rFonts w:hint="eastAsia" w:ascii="仿宋" w:hAnsi="仿宋" w:eastAsia="仿宋" w:cs="仿宋"/>
          <w:kern w:val="0"/>
          <w:sz w:val="24"/>
          <w:highlight w:val="none"/>
        </w:rPr>
        <w:t>2.2.15</w:t>
      </w:r>
      <w:r>
        <w:rPr>
          <w:rFonts w:hint="eastAsia" w:ascii="仿宋" w:hAnsi="仿宋" w:eastAsia="仿宋" w:cs="仿宋"/>
          <w:snapToGrid w:val="0"/>
          <w:sz w:val="24"/>
          <w:highlight w:val="none"/>
        </w:rPr>
        <w:t>非本地投标人售后服务机构证明材料。非本地投标人</w:t>
      </w:r>
      <w:r>
        <w:rPr>
          <w:rFonts w:hint="eastAsia" w:ascii="仿宋" w:hAnsi="仿宋" w:eastAsia="仿宋" w:cs="仿宋"/>
          <w:sz w:val="24"/>
          <w:highlight w:val="none"/>
          <w:lang w:val="zh-CN"/>
        </w:rPr>
        <w:t>在绍兴的分公司</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需提供本地工商注册</w:t>
      </w:r>
      <w:r>
        <w:rPr>
          <w:rFonts w:hint="eastAsia" w:ascii="仿宋" w:hAnsi="仿宋" w:eastAsia="仿宋" w:cs="仿宋"/>
          <w:sz w:val="24"/>
          <w:highlight w:val="none"/>
        </w:rPr>
        <w:t>登记</w:t>
      </w:r>
      <w:r>
        <w:rPr>
          <w:rFonts w:hint="eastAsia" w:ascii="仿宋" w:hAnsi="仿宋" w:eastAsia="仿宋" w:cs="仿宋"/>
          <w:sz w:val="24"/>
          <w:highlight w:val="none"/>
          <w:lang w:val="zh-CN"/>
        </w:rPr>
        <w:t>资料）或办事处</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需提供本地国内经济合作办注册资料</w:t>
      </w:r>
      <w:r>
        <w:rPr>
          <w:rFonts w:hint="eastAsia" w:ascii="仿宋" w:hAnsi="仿宋" w:eastAsia="仿宋" w:cs="仿宋"/>
          <w:kern w:val="0"/>
          <w:sz w:val="24"/>
          <w:highlight w:val="none"/>
        </w:rPr>
        <w:t>）或符合本项目服务能力并签订合作协议的第三方机构或者在中标（成交）公示后在本地设立售后服务机构作</w:t>
      </w:r>
      <w:r>
        <w:rPr>
          <w:rFonts w:hint="eastAsia" w:ascii="仿宋" w:hAnsi="仿宋" w:eastAsia="仿宋" w:cs="仿宋"/>
          <w:sz w:val="24"/>
          <w:highlight w:val="none"/>
          <w:lang w:val="zh-CN"/>
        </w:rPr>
        <w:t>为常驻服务和技术支持机构；</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lang w:val="zh-CN"/>
        </w:rPr>
        <w:t>2.2.16廉政承诺书</w:t>
      </w:r>
      <w:r>
        <w:rPr>
          <w:rFonts w:hint="eastAsia" w:ascii="仿宋" w:hAnsi="仿宋" w:eastAsia="仿宋" w:cs="仿宋"/>
          <w:sz w:val="24"/>
          <w:highlight w:val="none"/>
        </w:rPr>
        <w:t>（格式见第六部分附件）；</w:t>
      </w:r>
    </w:p>
    <w:p>
      <w:pPr>
        <w:pStyle w:val="21"/>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2.2.17联合协议（如有）；</w:t>
      </w:r>
    </w:p>
    <w:p>
      <w:pPr>
        <w:pStyle w:val="21"/>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2.2.18分包意向协议（如有）；</w:t>
      </w:r>
    </w:p>
    <w:p>
      <w:pPr>
        <w:pStyle w:val="21"/>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2.2.19中小企业声明函（如有）；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2.2.20</w:t>
      </w:r>
      <w:r>
        <w:rPr>
          <w:rFonts w:hint="eastAsia" w:ascii="仿宋" w:hAnsi="仿宋" w:eastAsia="仿宋" w:cs="仿宋"/>
          <w:sz w:val="24"/>
          <w:highlight w:val="none"/>
          <w:u w:val="wave"/>
        </w:rPr>
        <w:t>未尽事宜请各投标单位按评分标准和相对应标项相关要求制作</w:t>
      </w:r>
      <w:r>
        <w:rPr>
          <w:rFonts w:hint="eastAsia" w:ascii="仿宋" w:hAnsi="仿宋" w:eastAsia="仿宋" w:cs="仿宋"/>
          <w:sz w:val="24"/>
          <w:highlight w:val="none"/>
        </w:rPr>
        <w:t>；</w:t>
      </w:r>
    </w:p>
    <w:p>
      <w:pPr>
        <w:pStyle w:val="21"/>
        <w:tabs>
          <w:tab w:val="left" w:pos="1854"/>
          <w:tab w:val="clear" w:pos="482"/>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2.2.21投标人需要说明的其他文件和说明（格式自拟）。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b/>
          <w:highlight w:val="none"/>
        </w:rPr>
      </w:pPr>
      <w:r>
        <w:rPr>
          <w:rFonts w:hint="eastAsia" w:ascii="仿宋" w:hAnsi="仿宋" w:eastAsia="仿宋" w:cs="仿宋"/>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4"/>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3.1投标人应按招标文件中《开标一览表》等附表要求填写。</w:t>
      </w:r>
    </w:p>
    <w:p>
      <w:pPr>
        <w:pStyle w:val="24"/>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
          <w:i/>
          <w:sz w:val="24"/>
          <w:highlight w:val="none"/>
        </w:rPr>
        <w:t>投标报价只允许有一个报价，有选择的报价将不予接受（除指定外）。</w:t>
      </w:r>
    </w:p>
    <w:p>
      <w:pPr>
        <w:pStyle w:val="15"/>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4.投标文件的有效期</w:t>
      </w:r>
    </w:p>
    <w:p>
      <w:pPr>
        <w:pStyle w:val="15"/>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投标有效期为从提交投标文件的截止之日起90天。</w:t>
      </w:r>
      <w:r>
        <w:rPr>
          <w:rFonts w:hint="eastAsia" w:ascii="仿宋" w:hAnsi="仿宋" w:eastAsia="仿宋" w:cs="仿宋"/>
          <w:b/>
          <w:highlight w:val="none"/>
        </w:rPr>
        <w:t>投标人的投标文件中承</w:t>
      </w:r>
      <w:r>
        <w:rPr>
          <w:rFonts w:hint="eastAsia" w:ascii="仿宋" w:hAnsi="仿宋" w:eastAsia="仿宋" w:cs="仿宋"/>
          <w:b/>
          <w:szCs w:val="21"/>
          <w:highlight w:val="none"/>
        </w:rPr>
        <w:t>诺的投标有效期少于招标文件中载明的投标有效期的，投标无效。</w:t>
      </w:r>
    </w:p>
    <w:p>
      <w:pPr>
        <w:pStyle w:val="15"/>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4.2在特殊情况下，招标人可与投标人协商延长投标书的有效期，这种要求和答复均以书面形式进行。</w:t>
      </w:r>
    </w:p>
    <w:p>
      <w:pPr>
        <w:pStyle w:val="15"/>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5.投标文件的规定</w:t>
      </w:r>
    </w:p>
    <w:p>
      <w:pPr>
        <w:pStyle w:val="24"/>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5.1投标文件由“商务技术（资信）文件资料”、“报价文件资料”两部分文件组成，应按统一格式填写。</w:t>
      </w:r>
    </w:p>
    <w:p>
      <w:pPr>
        <w:pStyle w:val="24"/>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5.2投标文件须按附件格式要求进行电子签章，投标人应写全称。</w:t>
      </w:r>
    </w:p>
    <w:p>
      <w:pPr>
        <w:pStyle w:val="24"/>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5.4投标文件因字迹潦草或表达不清所引起的后果由投标人负责。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投标人应按“招标公告”规定的时间、方式将投标文件提交给采购机构，</w:t>
      </w:r>
      <w:r>
        <w:rPr>
          <w:rFonts w:hint="eastAsia" w:ascii="仿宋" w:hAnsi="仿宋" w:eastAsia="仿宋" w:cs="仿宋"/>
          <w:b/>
          <w:sz w:val="24"/>
          <w:highlight w:val="none"/>
        </w:rPr>
        <w:t>采购机构将拒绝接受逾期提交的投标文件。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3.2评标委员会由采购人代表和有关方面的专家组成，成员人数为七人以上单数。</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widowControl/>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3.5</w:t>
      </w:r>
      <w:r>
        <w:rPr>
          <w:rFonts w:hint="eastAsia" w:ascii="仿宋" w:hAnsi="仿宋" w:eastAsia="仿宋" w:cs="仿宋"/>
          <w:sz w:val="24"/>
          <w:highlight w:val="none"/>
        </w:rPr>
        <w:t>评标委员会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 《政府采购货物和服务招标投标管理办法》</w:t>
      </w:r>
      <w:r>
        <w:rPr>
          <w:rFonts w:hint="eastAsia" w:ascii="仿宋" w:hAnsi="仿宋" w:eastAsia="仿宋" w:cs="仿宋"/>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6.8评标委员会依据招标文件规定的评标标准和方法，对投标文件进行评审和比较后，向本中心提供书面评标报告，并按得分高低排序推荐中标候选供应商。</w:t>
      </w:r>
    </w:p>
    <w:p>
      <w:pPr>
        <w:pStyle w:val="15"/>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7.投标文件的澄清</w:t>
      </w:r>
    </w:p>
    <w:p>
      <w:pPr>
        <w:pStyle w:val="15"/>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8.9报</w:t>
      </w:r>
      <w:r>
        <w:rPr>
          <w:rFonts w:hint="eastAsia" w:ascii="仿宋" w:hAnsi="仿宋" w:eastAsia="仿宋" w:cs="仿宋"/>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8.10</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内容不全、有缺失的,经评标委员会认定为无法评审的；</w:t>
      </w:r>
    </w:p>
    <w:p>
      <w:pPr>
        <w:pStyle w:val="24"/>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8.11出现同一标的物或本次招标产品(服务)内的主要产品(重要组成部分)出现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描述不一致或前后描述不一致，经评标委员会认定后为无法评审的；</w:t>
      </w:r>
    </w:p>
    <w:p>
      <w:pPr>
        <w:pStyle w:val="24"/>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8.12《技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8.13投</w:t>
      </w:r>
      <w:r>
        <w:rPr>
          <w:rFonts w:hint="eastAsia" w:ascii="仿宋" w:hAnsi="仿宋" w:eastAsia="仿宋" w:cs="仿宋"/>
          <w:b/>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8.14评</w:t>
      </w:r>
      <w:r>
        <w:rPr>
          <w:rFonts w:hint="eastAsia" w:ascii="仿宋" w:hAnsi="仿宋" w:eastAsia="仿宋" w:cs="仿宋"/>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szCs w:val="21"/>
          <w:highlight w:val="none"/>
        </w:rPr>
      </w:pPr>
      <w:r>
        <w:rPr>
          <w:rFonts w:hint="eastAsia" w:ascii="仿宋" w:hAnsi="仿宋" w:eastAsia="仿宋" w:cs="仿宋"/>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8.23</w:t>
      </w:r>
      <w:r>
        <w:rPr>
          <w:rFonts w:hint="eastAsia" w:ascii="仿宋" w:hAnsi="仿宋" w:eastAsia="仿宋" w:cs="仿宋"/>
          <w:b/>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24"/>
        <w:spacing w:line="800" w:lineRule="exact"/>
        <w:ind w:firstLine="726"/>
        <w:jc w:val="center"/>
        <w:rPr>
          <w:rFonts w:hint="eastAsia" w:ascii="仿宋" w:hAnsi="仿宋" w:eastAsia="仿宋" w:cs="仿宋"/>
          <w:b/>
          <w:sz w:val="36"/>
          <w:szCs w:val="36"/>
          <w:highlight w:val="none"/>
        </w:rPr>
      </w:pPr>
      <w:bookmarkStart w:id="4" w:name="_Toc81372953"/>
      <w:bookmarkStart w:id="5" w:name="_Toc84325929"/>
      <w:bookmarkStart w:id="6" w:name="_Toc81372776"/>
      <w:r>
        <w:rPr>
          <w:rFonts w:hint="eastAsia" w:ascii="仿宋" w:hAnsi="仿宋" w:eastAsia="仿宋" w:cs="仿宋"/>
          <w:b/>
          <w:sz w:val="36"/>
          <w:szCs w:val="36"/>
          <w:highlight w:val="none"/>
        </w:rPr>
        <w:t>五、授予合同</w:t>
      </w:r>
    </w:p>
    <w:p>
      <w:pPr>
        <w:pStyle w:val="15"/>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5"/>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1.1投标文件基本符合招标文件要求；</w:t>
      </w:r>
    </w:p>
    <w:p>
      <w:pPr>
        <w:pStyle w:val="15"/>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1.2投标人有很好的执行合同的能力；</w:t>
      </w:r>
    </w:p>
    <w:p>
      <w:pPr>
        <w:pStyle w:val="15"/>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1.4投标人能够提供质量技术、商务经济占综合优势的系统及服务。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4"/>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5．合同签订及备案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，通过电子交易平台进行备案。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1.供应商询问</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2.供应商质疑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（4）供应商应在法定质疑期内一次性提出针对同一采购程序环节的质疑。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（3）具体、明确的质疑事项和与质疑事项相关的请求</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（7）提出质疑的日期。</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4"/>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hint="eastAsia"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70"/>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70"/>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1"/>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1"/>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6"/>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5.2中标人必须有可靠的售后服务保障包括但不限于在</w:t>
      </w:r>
      <w:r>
        <w:rPr>
          <w:rFonts w:hint="eastAsia" w:ascii="仿宋" w:hAnsi="仿宋" w:eastAsia="仿宋" w:cs="仿宋"/>
          <w:b/>
          <w:sz w:val="24"/>
          <w:highlight w:val="none"/>
          <w:u w:val="single"/>
        </w:rPr>
        <w:t>绍兴附近</w:t>
      </w:r>
      <w:r>
        <w:rPr>
          <w:rFonts w:hint="eastAsia" w:ascii="仿宋" w:hAnsi="仿宋" w:eastAsia="仿宋" w:cs="仿宋"/>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bookmarkStart w:id="7" w:name="_Toc151354173"/>
      <w:bookmarkStart w:id="8" w:name="_Toc81372787"/>
      <w:bookmarkStart w:id="9" w:name="_Toc80157775"/>
      <w:bookmarkStart w:id="10" w:name="_Toc81372964"/>
      <w:bookmarkStart w:id="11" w:name="_Toc84325981"/>
      <w:r>
        <w:rPr>
          <w:rFonts w:hint="eastAsia" w:ascii="仿宋" w:hAnsi="仿宋" w:eastAsia="仿宋" w:cs="仿宋"/>
          <w:b/>
          <w:sz w:val="24"/>
          <w:highlight w:val="none"/>
        </w:rPr>
        <w:t>8.招标项目设备名称及数量：</w:t>
      </w:r>
    </w:p>
    <w:p>
      <w:pPr>
        <w:pStyle w:val="290"/>
        <w:spacing w:before="120" w:after="120" w:line="240" w:lineRule="auto"/>
        <w:ind w:firstLine="482"/>
        <w:rPr>
          <w:rFonts w:hint="eastAsia" w:ascii="仿宋" w:hAnsi="仿宋" w:eastAsia="仿宋" w:cs="仿宋"/>
          <w:b/>
          <w:sz w:val="21"/>
          <w:szCs w:val="21"/>
          <w:highlight w:val="none"/>
        </w:rPr>
      </w:pPr>
      <w:r>
        <w:rPr>
          <w:rFonts w:hint="eastAsia" w:ascii="仿宋" w:hAnsi="仿宋" w:eastAsia="仿宋" w:cs="仿宋"/>
          <w:b/>
          <w:bCs/>
          <w:highlight w:val="none"/>
          <w:bdr w:val="single" w:color="auto" w:sz="4" w:space="0"/>
        </w:rPr>
        <w:t>01标</w:t>
      </w:r>
      <w:bookmarkStart w:id="12" w:name="_Toc7206"/>
      <w:bookmarkStart w:id="13" w:name="_Toc32678"/>
      <w:r>
        <w:rPr>
          <w:rFonts w:hint="eastAsia" w:ascii="仿宋" w:hAnsi="仿宋" w:eastAsia="仿宋" w:cs="仿宋"/>
          <w:b/>
          <w:bCs/>
          <w:highlight w:val="none"/>
        </w:rPr>
        <w:t>绍兴市中医院</w:t>
      </w:r>
      <w:r>
        <w:rPr>
          <w:rFonts w:hint="eastAsia" w:ascii="仿宋" w:hAnsi="仿宋" w:eastAsia="仿宋" w:cs="仿宋"/>
          <w:b/>
          <w:bCs/>
          <w:highlight w:val="none"/>
          <w:lang w:eastAsia="zh-CN"/>
        </w:rPr>
        <w:t>处方信息流转及惠民平台信息系统改造服务项目</w:t>
      </w:r>
      <w:r>
        <w:rPr>
          <w:rFonts w:hint="eastAsia" w:ascii="仿宋" w:hAnsi="仿宋" w:eastAsia="仿宋" w:cs="仿宋"/>
          <w:b/>
          <w:highlight w:val="none"/>
        </w:rPr>
        <w:t>，</w:t>
      </w:r>
      <w:r>
        <w:rPr>
          <w:rFonts w:hint="eastAsia" w:ascii="仿宋" w:hAnsi="仿宋" w:eastAsia="仿宋" w:cs="仿宋"/>
          <w:b/>
          <w:bCs/>
          <w:highlight w:val="none"/>
        </w:rPr>
        <w:t>总预算</w:t>
      </w:r>
      <w:r>
        <w:rPr>
          <w:rFonts w:hint="eastAsia" w:ascii="仿宋" w:hAnsi="仿宋" w:eastAsia="仿宋" w:cs="仿宋"/>
          <w:b/>
          <w:bCs/>
          <w:highlight w:val="none"/>
          <w:lang w:val="en-US" w:eastAsia="zh-CN"/>
        </w:rPr>
        <w:t>23</w:t>
      </w:r>
      <w:r>
        <w:rPr>
          <w:rFonts w:hint="eastAsia" w:ascii="仿宋" w:hAnsi="仿宋" w:eastAsia="仿宋" w:cs="仿宋"/>
          <w:b/>
          <w:bCs/>
          <w:highlight w:val="none"/>
        </w:rPr>
        <w:t>万。</w:t>
      </w:r>
      <w:bookmarkStart w:id="14" w:name="_Toc101450156"/>
      <w:bookmarkStart w:id="15" w:name="_Toc1487721"/>
    </w:p>
    <w:bookmarkEnd w:id="14"/>
    <w:bookmarkEnd w:id="15"/>
    <w:p>
      <w:pPr>
        <w:pStyle w:val="32"/>
        <w:spacing w:line="240" w:lineRule="auto"/>
        <w:ind w:firstLine="310" w:firstLineChars="147"/>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一、招标项目范围及要求</w:t>
      </w:r>
      <w:bookmarkStart w:id="16" w:name="_Hlk14340192"/>
    </w:p>
    <w:p>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根据《绍兴市卫生健康委员会关于做好处方信息交换与流转有关工作通知》，推进信息化改造。要求医疗机构与全市麻精毒药品闭环管控平台建设一体部署，上传处方信息至市平台，按照《绍兴市医疗机构处方信息共享接口规范V1.0》、《浙江省全民健康信息平台数据采集交换技术规范（值域字典部分）V3.2》、《疾病分类代码国家临床版2.0》等要求完成信息化改造建设。</w:t>
      </w:r>
    </w:p>
    <w:p>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根据《关于开展惠民基金报销补充接口对接的通知》，完成与市惠民基金补充报销系统平台建设相关系统的改造工作。</w:t>
      </w:r>
    </w:p>
    <w:p>
      <w:pPr>
        <w:pStyle w:val="32"/>
        <w:spacing w:line="240" w:lineRule="auto"/>
        <w:ind w:firstLine="413" w:firstLineChars="196"/>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二、项目内容</w:t>
      </w:r>
    </w:p>
    <w:bookmarkEnd w:id="16"/>
    <w:tbl>
      <w:tblPr>
        <w:tblStyle w:val="44"/>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2694" w:type="dxa"/>
            <w:tcBorders>
              <w:top w:val="single" w:color="auto" w:sz="4" w:space="0"/>
              <w:left w:val="nil"/>
              <w:bottom w:val="single" w:color="auto" w:sz="4" w:space="0"/>
              <w:right w:val="single" w:color="auto" w:sz="4" w:space="0"/>
            </w:tcBorders>
            <w:noWrap w:val="0"/>
            <w:vAlign w:val="top"/>
          </w:tcPr>
          <w:p>
            <w:pPr>
              <w:spacing w:line="360" w:lineRule="auto"/>
              <w:ind w:firstLine="422" w:firstLineChars="200"/>
              <w:rPr>
                <w:rFonts w:hint="eastAsia" w:ascii="仿宋" w:hAnsi="仿宋" w:eastAsia="仿宋" w:cs="仿宋"/>
                <w:szCs w:val="21"/>
                <w:highlight w:val="none"/>
              </w:rPr>
            </w:pPr>
            <w:r>
              <w:rPr>
                <w:rFonts w:hint="eastAsia" w:ascii="仿宋" w:hAnsi="仿宋" w:eastAsia="仿宋" w:cs="仿宋"/>
                <w:b/>
                <w:bCs/>
                <w:szCs w:val="21"/>
                <w:highlight w:val="none"/>
              </w:rPr>
              <w:t>系统/模块名称</w:t>
            </w:r>
          </w:p>
        </w:tc>
        <w:tc>
          <w:tcPr>
            <w:tcW w:w="4750" w:type="dxa"/>
            <w:tcBorders>
              <w:top w:val="single" w:color="auto" w:sz="4" w:space="0"/>
              <w:left w:val="nil"/>
              <w:bottom w:val="single" w:color="auto" w:sz="4" w:space="0"/>
              <w:right w:val="single" w:color="auto" w:sz="4" w:space="0"/>
            </w:tcBorders>
            <w:noWrap w:val="0"/>
            <w:vAlign w:val="top"/>
          </w:tcPr>
          <w:p>
            <w:pPr>
              <w:spacing w:line="360" w:lineRule="auto"/>
              <w:ind w:firstLine="2003" w:firstLineChars="950"/>
              <w:rPr>
                <w:rFonts w:hint="eastAsia" w:ascii="仿宋" w:hAnsi="仿宋" w:eastAsia="仿宋" w:cs="仿宋"/>
                <w:b/>
                <w:bCs/>
                <w:szCs w:val="21"/>
                <w:highlight w:val="none"/>
              </w:rPr>
            </w:pPr>
            <w:r>
              <w:rPr>
                <w:rFonts w:hint="eastAsia" w:ascii="仿宋" w:hAnsi="仿宋" w:eastAsia="仿宋" w:cs="仿宋"/>
                <w:b/>
                <w:bCs/>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numPr>
                <w:ilvl w:val="0"/>
                <w:numId w:val="6"/>
              </w:numPr>
              <w:spacing w:line="360" w:lineRule="auto"/>
              <w:jc w:val="center"/>
              <w:rPr>
                <w:rFonts w:hint="eastAsia" w:ascii="仿宋" w:hAnsi="仿宋" w:eastAsia="仿宋" w:cs="仿宋"/>
                <w:szCs w:val="21"/>
                <w:highlight w:val="none"/>
              </w:rPr>
            </w:pPr>
          </w:p>
        </w:tc>
        <w:tc>
          <w:tcPr>
            <w:tcW w:w="2694"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处方信息流转改造服务</w:t>
            </w:r>
          </w:p>
        </w:tc>
        <w:tc>
          <w:tcPr>
            <w:tcW w:w="4750"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《绍兴市医疗机构处方信息共享接口规范V1.0》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numPr>
                <w:ilvl w:val="0"/>
                <w:numId w:val="6"/>
              </w:numPr>
              <w:spacing w:line="360" w:lineRule="auto"/>
              <w:jc w:val="center"/>
              <w:rPr>
                <w:rFonts w:hint="eastAsia" w:ascii="仿宋" w:hAnsi="仿宋" w:eastAsia="仿宋" w:cs="仿宋"/>
                <w:szCs w:val="21"/>
                <w:highlight w:val="none"/>
              </w:rPr>
            </w:pPr>
          </w:p>
        </w:tc>
        <w:tc>
          <w:tcPr>
            <w:tcW w:w="2694"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rPr>
              <w:t>惠民平台系统建设服务</w:t>
            </w:r>
          </w:p>
        </w:tc>
        <w:tc>
          <w:tcPr>
            <w:tcW w:w="4750" w:type="dxa"/>
            <w:tcBorders>
              <w:top w:val="single" w:color="auto" w:sz="4" w:space="0"/>
              <w:left w:val="nil"/>
              <w:bottom w:val="single" w:color="auto" w:sz="4" w:space="0"/>
              <w:right w:val="single" w:color="auto" w:sz="4" w:space="0"/>
            </w:tcBorders>
            <w:noWrap w:val="0"/>
            <w:vAlign w:val="top"/>
          </w:tcPr>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《关于开展惠民基金报销补充接口对接的通知》</w:t>
            </w:r>
          </w:p>
        </w:tc>
      </w:tr>
    </w:tbl>
    <w:p>
      <w:pPr>
        <w:pStyle w:val="32"/>
        <w:spacing w:line="240" w:lineRule="auto"/>
        <w:ind w:firstLine="413" w:firstLineChars="196"/>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三、项目参数</w:t>
      </w:r>
    </w:p>
    <w:p>
      <w:pPr>
        <w:pStyle w:val="40"/>
        <w:spacing w:line="360" w:lineRule="auto"/>
        <w:ind w:firstLine="413" w:firstLineChars="196"/>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1、处方信息流转改造服务</w:t>
      </w:r>
    </w:p>
    <w:p>
      <w:pPr>
        <w:spacing w:line="360" w:lineRule="auto"/>
        <w:jc w:val="left"/>
        <w:rPr>
          <w:rFonts w:hint="eastAsia" w:ascii="仿宋" w:hAnsi="仿宋" w:eastAsia="仿宋" w:cs="仿宋"/>
          <w:szCs w:val="21"/>
          <w:highlight w:val="none"/>
        </w:rPr>
      </w:pPr>
      <w:bookmarkStart w:id="17" w:name="_Toc4670"/>
      <w:bookmarkStart w:id="18" w:name="_Toc14859"/>
      <w:bookmarkStart w:id="19" w:name="_Toc66181211"/>
      <w:r>
        <w:rPr>
          <w:rFonts w:hint="eastAsia" w:ascii="仿宋" w:hAnsi="仿宋" w:eastAsia="仿宋" w:cs="仿宋"/>
          <w:szCs w:val="21"/>
          <w:highlight w:val="none"/>
        </w:rPr>
        <w:t>1.1接口服务功能说明</w:t>
      </w:r>
      <w:bookmarkEnd w:id="17"/>
      <w:bookmarkEnd w:id="18"/>
      <w:bookmarkEnd w:id="19"/>
      <w:r>
        <w:rPr>
          <w:rFonts w:hint="eastAsia" w:ascii="仿宋" w:hAnsi="仿宋" w:eastAsia="仿宋" w:cs="仿宋"/>
          <w:szCs w:val="21"/>
          <w:highlight w:val="none"/>
        </w:rPr>
        <w:t>：</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a.根据处方id撤销处方的发布</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b.根据处方id查询处方状态</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c.根据处方id更新处方状态</w:t>
      </w:r>
    </w:p>
    <w:p>
      <w:pPr>
        <w:spacing w:line="360" w:lineRule="auto"/>
        <w:jc w:val="left"/>
        <w:rPr>
          <w:rFonts w:hint="eastAsia" w:ascii="仿宋" w:hAnsi="仿宋" w:eastAsia="仿宋" w:cs="仿宋"/>
          <w:szCs w:val="21"/>
          <w:highlight w:val="none"/>
        </w:rPr>
      </w:pPr>
      <w:bookmarkStart w:id="20" w:name="_Toc11501"/>
      <w:bookmarkStart w:id="21" w:name="_Toc66181212"/>
      <w:bookmarkStart w:id="22" w:name="_Toc19612"/>
      <w:r>
        <w:rPr>
          <w:rFonts w:hint="eastAsia" w:ascii="仿宋" w:hAnsi="仿宋" w:eastAsia="仿宋" w:cs="仿宋"/>
          <w:szCs w:val="21"/>
          <w:highlight w:val="none"/>
        </w:rPr>
        <w:t>1.2▲从医院端上传处方至</w:t>
      </w:r>
      <w:bookmarkEnd w:id="20"/>
      <w:bookmarkEnd w:id="21"/>
      <w:bookmarkEnd w:id="22"/>
      <w:r>
        <w:rPr>
          <w:rFonts w:hint="eastAsia" w:ascii="仿宋" w:hAnsi="仿宋" w:eastAsia="仿宋" w:cs="仿宋"/>
          <w:szCs w:val="21"/>
          <w:highlight w:val="none"/>
        </w:rPr>
        <w:t>市平台</w:t>
      </w:r>
    </w:p>
    <w:p>
      <w:pPr>
        <w:spacing w:line="360" w:lineRule="auto"/>
        <w:jc w:val="left"/>
        <w:rPr>
          <w:rFonts w:hint="eastAsia" w:ascii="仿宋" w:hAnsi="仿宋" w:eastAsia="仿宋" w:cs="仿宋"/>
          <w:szCs w:val="21"/>
          <w:highlight w:val="none"/>
        </w:rPr>
      </w:pPr>
      <w:bookmarkStart w:id="23" w:name="_Toc32598"/>
      <w:bookmarkStart w:id="24" w:name="_Toc23340"/>
      <w:r>
        <w:rPr>
          <w:rFonts w:hint="eastAsia" w:ascii="仿宋" w:hAnsi="仿宋" w:eastAsia="仿宋" w:cs="仿宋"/>
          <w:szCs w:val="21"/>
          <w:highlight w:val="none"/>
        </w:rPr>
        <w:t>医院端主动上传：</w:t>
      </w:r>
      <w:bookmarkEnd w:id="23"/>
      <w:bookmarkEnd w:id="24"/>
      <w:r>
        <w:rPr>
          <w:rFonts w:hint="eastAsia" w:ascii="仿宋" w:hAnsi="仿宋" w:eastAsia="仿宋" w:cs="仿宋"/>
          <w:szCs w:val="21"/>
          <w:highlight w:val="none"/>
        </w:rPr>
        <w:t>上传处方信息</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医院端：调用【15010】接口上传处方详细信息</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市平台：市平台将医院端上传的处方信息进行存储，并同步返回存储结果</w:t>
      </w:r>
    </w:p>
    <w:p>
      <w:pPr>
        <w:spacing w:line="360" w:lineRule="auto"/>
        <w:jc w:val="left"/>
        <w:rPr>
          <w:rFonts w:hint="eastAsia" w:ascii="仿宋" w:hAnsi="仿宋" w:eastAsia="仿宋" w:cs="仿宋"/>
          <w:szCs w:val="21"/>
          <w:highlight w:val="none"/>
        </w:rPr>
      </w:pPr>
      <w:bookmarkStart w:id="25" w:name="_Toc66181213"/>
      <w:bookmarkStart w:id="26" w:name="_Toc2105"/>
      <w:bookmarkStart w:id="27" w:name="_Toc14484"/>
      <w:r>
        <w:rPr>
          <w:rFonts w:hint="eastAsia" w:ascii="仿宋" w:hAnsi="仿宋" w:eastAsia="仿宋" w:cs="仿宋"/>
          <w:szCs w:val="21"/>
          <w:highlight w:val="none"/>
        </w:rPr>
        <w:t>1.3医院端将处方从市平台撤销</w:t>
      </w:r>
      <w:bookmarkEnd w:id="25"/>
      <w:bookmarkEnd w:id="26"/>
      <w:bookmarkEnd w:id="27"/>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支持医院端将已上传至市平台的处方进行撤回，流程如下：</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医院端撤回已发布的处方，市平台将撤销结果通知医院端</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医院端：把需要撤销的处方id通过调用【15007】接口传给市平台</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市平台：获取到需要撤销的处方id后，进行撤销操作，然后同步返回给医院端</w:t>
      </w:r>
    </w:p>
    <w:p>
      <w:pPr>
        <w:spacing w:line="360" w:lineRule="auto"/>
        <w:jc w:val="left"/>
        <w:rPr>
          <w:rFonts w:hint="eastAsia" w:ascii="仿宋" w:hAnsi="仿宋" w:eastAsia="仿宋" w:cs="仿宋"/>
          <w:szCs w:val="21"/>
          <w:highlight w:val="none"/>
        </w:rPr>
      </w:pPr>
      <w:bookmarkStart w:id="28" w:name="_Toc421"/>
      <w:bookmarkStart w:id="29" w:name="_Toc66181214"/>
      <w:bookmarkStart w:id="30" w:name="_Toc9865"/>
      <w:r>
        <w:rPr>
          <w:rFonts w:hint="eastAsia" w:ascii="仿宋" w:hAnsi="仿宋" w:eastAsia="仿宋" w:cs="仿宋"/>
          <w:szCs w:val="21"/>
          <w:highlight w:val="none"/>
        </w:rPr>
        <w:t>1.4▲医院端查询处方状态</w:t>
      </w:r>
      <w:bookmarkEnd w:id="28"/>
      <w:bookmarkEnd w:id="29"/>
      <w:bookmarkEnd w:id="30"/>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支持医院端对已上传至市平台的处方进行状态查询，流程如下：</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医院端：根据处方id通过调用【15008】接口查询市平台该处方状态</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市平台：获取到需要查询的处方id后，返回给医院端该处方状态</w:t>
      </w:r>
      <w:bookmarkStart w:id="31" w:name="_Toc66181215"/>
    </w:p>
    <w:p>
      <w:pPr>
        <w:spacing w:line="360" w:lineRule="auto"/>
        <w:jc w:val="left"/>
        <w:rPr>
          <w:rFonts w:hint="eastAsia" w:ascii="仿宋" w:hAnsi="仿宋" w:eastAsia="仿宋" w:cs="仿宋"/>
          <w:szCs w:val="21"/>
          <w:highlight w:val="none"/>
        </w:rPr>
      </w:pPr>
      <w:bookmarkStart w:id="32" w:name="_Toc23510"/>
      <w:bookmarkStart w:id="33" w:name="_Toc9674"/>
      <w:r>
        <w:rPr>
          <w:rFonts w:hint="eastAsia" w:ascii="仿宋" w:hAnsi="仿宋" w:eastAsia="仿宋" w:cs="仿宋"/>
          <w:szCs w:val="21"/>
          <w:highlight w:val="none"/>
        </w:rPr>
        <w:t>1.5医院端更新处方状态</w:t>
      </w:r>
      <w:bookmarkEnd w:id="31"/>
      <w:bookmarkEnd w:id="32"/>
      <w:bookmarkEnd w:id="33"/>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支持医院端将已上传至市平台的处方进行状态更新，流程如下：</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医院端：根据处方id通过调用【15009】接口更新平台该处方的状态</w:t>
      </w:r>
    </w:p>
    <w:p>
      <w:pPr>
        <w:spacing w:line="360" w:lineRule="auto"/>
        <w:jc w:val="left"/>
        <w:rPr>
          <w:rFonts w:hint="eastAsia" w:ascii="仿宋" w:hAnsi="仿宋" w:eastAsia="仿宋" w:cs="仿宋"/>
          <w:szCs w:val="21"/>
          <w:highlight w:val="none"/>
        </w:rPr>
      </w:pPr>
      <w:r>
        <w:rPr>
          <w:rFonts w:hint="eastAsia" w:ascii="仿宋" w:hAnsi="仿宋" w:eastAsia="仿宋" w:cs="仿宋"/>
          <w:szCs w:val="21"/>
          <w:highlight w:val="none"/>
        </w:rPr>
        <w:t>市平台：收到处方id需要变更处方状态更新处方中的处方状态</w:t>
      </w:r>
    </w:p>
    <w:p>
      <w:pPr>
        <w:pStyle w:val="19"/>
        <w:rPr>
          <w:rFonts w:hint="eastAsia" w:ascii="仿宋" w:hAnsi="仿宋" w:eastAsia="仿宋" w:cs="仿宋"/>
          <w:color w:val="0000FF"/>
          <w:highlight w:val="none"/>
        </w:rPr>
      </w:pPr>
      <w:r>
        <w:rPr>
          <w:rFonts w:hint="eastAsia" w:ascii="仿宋" w:hAnsi="仿宋" w:eastAsia="仿宋" w:cs="仿宋"/>
          <w:color w:val="0000FF"/>
          <w:sz w:val="24"/>
          <w:highlight w:val="none"/>
        </w:rPr>
        <w:t>特别说明：以上实施参数及内容，最终将根据相关部门的文件变化或政策变动而作出适应性调整。</w:t>
      </w:r>
    </w:p>
    <w:p>
      <w:pPr>
        <w:pStyle w:val="40"/>
        <w:spacing w:line="240" w:lineRule="auto"/>
        <w:ind w:firstLine="413" w:firstLineChars="196"/>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2.惠民平台系统改造服务：</w:t>
      </w:r>
    </w:p>
    <w:p>
      <w:pPr>
        <w:pStyle w:val="2"/>
        <w:ind w:firstLine="0" w:firstLineChars="0"/>
        <w:rPr>
          <w:rFonts w:hint="eastAsia" w:ascii="仿宋" w:hAnsi="仿宋" w:eastAsia="仿宋" w:cs="仿宋"/>
          <w:b/>
          <w:sz w:val="21"/>
          <w:szCs w:val="21"/>
          <w:highlight w:val="none"/>
        </w:rPr>
      </w:pPr>
      <w:r>
        <w:rPr>
          <w:rFonts w:hint="eastAsia" w:ascii="仿宋" w:hAnsi="仿宋" w:eastAsia="仿宋" w:cs="仿宋"/>
          <w:b/>
          <w:sz w:val="21"/>
          <w:szCs w:val="21"/>
          <w:highlight w:val="none"/>
        </w:rPr>
        <w:t>2.1根据惠民政策，其业务范围主要包括以下交易类型：</w:t>
      </w:r>
    </w:p>
    <w:p>
      <w:pPr>
        <w:pStyle w:val="2"/>
        <w:ind w:firstLine="0" w:firstLineChars="0"/>
        <w:rPr>
          <w:rFonts w:hint="eastAsia" w:ascii="仿宋" w:hAnsi="仿宋" w:eastAsia="仿宋" w:cs="仿宋"/>
          <w:color w:val="000000"/>
          <w:kern w:val="0"/>
          <w:sz w:val="21"/>
          <w:szCs w:val="21"/>
          <w:highlight w:val="none"/>
        </w:rPr>
      </w:pPr>
      <w:r>
        <w:rPr>
          <w:rFonts w:hint="eastAsia" w:ascii="仿宋" w:hAnsi="仿宋" w:eastAsia="仿宋" w:cs="仿宋"/>
          <w:sz w:val="21"/>
          <w:szCs w:val="21"/>
          <w:highlight w:val="none"/>
        </w:rPr>
        <w:t>a.▲</w:t>
      </w:r>
      <w:r>
        <w:rPr>
          <w:rFonts w:hint="eastAsia" w:ascii="仿宋" w:hAnsi="仿宋" w:eastAsia="仿宋" w:cs="仿宋"/>
          <w:color w:val="000000"/>
          <w:kern w:val="0"/>
          <w:sz w:val="21"/>
          <w:szCs w:val="21"/>
          <w:highlight w:val="none"/>
        </w:rPr>
        <w:t>获取惠民信息：</w:t>
      </w:r>
      <w:r>
        <w:rPr>
          <w:rFonts w:hint="eastAsia" w:ascii="仿宋" w:hAnsi="仿宋" w:eastAsia="仿宋" w:cs="仿宋"/>
          <w:sz w:val="21"/>
          <w:szCs w:val="21"/>
          <w:highlight w:val="none"/>
        </w:rPr>
        <w:t>当HIS系统需要获得参保人员惠民信息供显示时，需要调用此交易。</w:t>
      </w:r>
    </w:p>
    <w:p>
      <w:pPr>
        <w:spacing w:line="360" w:lineRule="auto"/>
        <w:rPr>
          <w:rFonts w:hint="eastAsia" w:ascii="仿宋" w:hAnsi="仿宋" w:eastAsia="仿宋" w:cs="仿宋"/>
          <w:color w:val="000000"/>
          <w:kern w:val="0"/>
          <w:szCs w:val="21"/>
          <w:highlight w:val="none"/>
        </w:rPr>
      </w:pPr>
      <w:r>
        <w:rPr>
          <w:rFonts w:hint="eastAsia" w:ascii="仿宋" w:hAnsi="仿宋" w:eastAsia="仿宋" w:cs="仿宋"/>
          <w:szCs w:val="21"/>
          <w:highlight w:val="none"/>
        </w:rPr>
        <w:t>b.预结算或结算：提供病人就医时收费项目，收费项目以规定结构传入，一次结算只能传递同一个参保人收费列表。预结算返回结果仅供HIS参考显示使用，接口中对应的业务并没有实际发生，所有数据不保存。若确实需要根据预结算结果结算，需要调用结算交易（预结算标志不是1）。预结算与结算处理相同，唯一区别是预结算不保存数据。只要在预结算和结算间没有改动对结算有影响的政策性数据，两者的结果是相同的。</w:t>
      </w:r>
    </w:p>
    <w:p>
      <w:pPr>
        <w:pStyle w:val="2"/>
        <w:ind w:firstLine="0" w:firstLineChars="0"/>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rPr>
        <w:t>c.作废交易：</w:t>
      </w:r>
      <w:r>
        <w:rPr>
          <w:rFonts w:hint="eastAsia" w:ascii="仿宋" w:hAnsi="仿宋" w:eastAsia="仿宋" w:cs="仿宋"/>
          <w:sz w:val="21"/>
          <w:szCs w:val="21"/>
          <w:highlight w:val="none"/>
        </w:rPr>
        <w:t>结算成功后，若参保人要求退费或结算单据有错误，需要调用作废交易取消结算。这里的取消并不删除原始数据，仅通过产生负数方式作废原来的发票。</w:t>
      </w:r>
    </w:p>
    <w:p>
      <w:pPr>
        <w:spacing w:line="360" w:lineRule="auto"/>
        <w:rPr>
          <w:rFonts w:hint="eastAsia" w:ascii="仿宋" w:hAnsi="仿宋" w:eastAsia="仿宋" w:cs="仿宋"/>
          <w:color w:val="000000"/>
          <w:kern w:val="0"/>
          <w:szCs w:val="21"/>
          <w:highlight w:val="none"/>
        </w:rPr>
      </w:pPr>
      <w:r>
        <w:rPr>
          <w:rFonts w:hint="eastAsia" w:ascii="仿宋" w:hAnsi="仿宋" w:eastAsia="仿宋" w:cs="仿宋"/>
          <w:szCs w:val="21"/>
          <w:highlight w:val="none"/>
        </w:rPr>
        <w:t>作废交易成功后无法取消，只能重新结算。作废只能对整张结算单据进行处理，也就是说一次结算要么不退，要么全退。</w:t>
      </w:r>
    </w:p>
    <w:p>
      <w:pPr>
        <w:pStyle w:val="2"/>
        <w:ind w:firstLine="0" w:firstLineChars="0"/>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d.查询惠民人员的结算信息：</w:t>
      </w:r>
    </w:p>
    <w:p>
      <w:pPr>
        <w:pStyle w:val="2"/>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e.▲</w:t>
      </w:r>
      <w:r>
        <w:rPr>
          <w:rFonts w:hint="eastAsia" w:ascii="仿宋" w:hAnsi="仿宋" w:eastAsia="仿宋" w:cs="仿宋"/>
          <w:color w:val="000000"/>
          <w:kern w:val="0"/>
          <w:sz w:val="21"/>
          <w:szCs w:val="21"/>
          <w:highlight w:val="none"/>
        </w:rPr>
        <w:t>惠民信息下载接口：</w:t>
      </w:r>
      <w:r>
        <w:rPr>
          <w:rFonts w:hint="eastAsia" w:ascii="仿宋" w:hAnsi="仿宋" w:eastAsia="仿宋" w:cs="仿宋"/>
          <w:sz w:val="21"/>
          <w:szCs w:val="21"/>
          <w:highlight w:val="none"/>
        </w:rPr>
        <w:t>His系统可以通过此接口下载惠民信息，惠民信息是增量的，his系统需要保存好接口返回的xcxh字段，每次下载传本地系统中最大的xcxh。</w:t>
      </w:r>
    </w:p>
    <w:p>
      <w:pPr>
        <w:pStyle w:val="40"/>
        <w:spacing w:line="360" w:lineRule="auto"/>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2.2基本信息管理</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a. 授权惠民办相关人员能以EXECEL方式导入惠民人员新增、注销名单；有问题的数据，有提示信息。</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b. 惠民办相关人员能进行惠民对象新增、注销、冻结、修改等操作.操作完成后实时享受或停止享受惠民医疗政策待遇。部分惠民对象存在双重身份，导致院端惠民类别与中心端类别存在差异，财政、残联报表对账有误，为统一口径，要求惠民类别按顺序排列来进行结算：重度残疾对象、重点优抚对象、特困供养人员、最低生活保障家庭成员（低保对象）、最低生活保障边缘家庭成员（低保边缘对象）、纳入低保低边的因病致贫对象。</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c. 惠民信息维护中有使用状态（是否停用标记）、身份证号、姓名、镇街归属、详细地址、联系电话、底部显示共计数和在册人员数、登记日期、启用日期、停用日期、惠民政策类别（下拉框：最低生活保障家庭成员（低保对象）、最低生活保障边缘家庭成员（低保边缘对象）、纳入低保低边的因病致贫对象、特困供养人员、重点优抚对象、重度残疾对象）、门诊年度已报销金额、住院年度已报销金额及医保性质、备注、报表单位等项目。</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d. 惠民信息维护方式-登录系统-根据身份证号选人。1.惠民信息是分时间段的，一个人可能01-03月份是低保惠民，04不是，05-12月份又是低保惠民。2.惠民对象信息每日更新、住院信息实时关联。惠民信息库与住院信息实时关联，惠民办在新增、注销惠民对象时，如该新增、注销对象正在XX医院住院，能弹出提示框 “该患者正在xx医院住院” ，根据提示框，惠民办发送消息，做好提醒业务；新增惠民对象正处在住院期间需要在本次治疗结束，出院费用结算完成后享受惠民优惠。3.注销惠民对象正处在住院期间，软件根据惠民享受日期，自动计算住院期间惠民优惠金额。</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e. 惠民人员有自己的行政区划，在越城区范围内，和医保不一致。</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f. 医院对账等要支持惠民的金额。</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g.所有惠民定点医疗机构门诊结算权限全部开放，住院需办理审批手续。绍兴二院只开通疾病诊断“烧伤”惠民对象住院（烧伤疾病诊断及ICD码见附件），其余疾病一律不得入住。</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h.惠民待遇人员住院审核模块功能：仅对惠民待遇人员单次住院不享受惠民待遇结算做审核，审核不享受的，本次住院没有惠民待遇。</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I.交易次数参照医保规则执行。</w:t>
      </w:r>
    </w:p>
    <w:p>
      <w:pPr>
        <w:spacing w:line="240" w:lineRule="auto"/>
        <w:rPr>
          <w:rFonts w:hint="eastAsia" w:ascii="仿宋" w:hAnsi="仿宋" w:eastAsia="仿宋" w:cs="仿宋"/>
          <w:szCs w:val="21"/>
          <w:highlight w:val="none"/>
        </w:rPr>
      </w:pPr>
      <w:r>
        <w:rPr>
          <w:rFonts w:hint="eastAsia" w:ascii="仿宋" w:hAnsi="仿宋" w:eastAsia="仿宋" w:cs="仿宋"/>
          <w:szCs w:val="21"/>
          <w:highlight w:val="none"/>
        </w:rPr>
        <w:t>J.惠民医疗监管信息化</w:t>
      </w:r>
    </w:p>
    <w:p>
      <w:pPr>
        <w:pStyle w:val="40"/>
        <w:spacing w:line="240" w:lineRule="auto"/>
        <w:jc w:val="both"/>
        <w:rPr>
          <w:rFonts w:hint="eastAsia" w:ascii="仿宋" w:hAnsi="仿宋" w:eastAsia="仿宋" w:cs="仿宋"/>
          <w:sz w:val="21"/>
          <w:szCs w:val="21"/>
          <w:highlight w:val="none"/>
        </w:rPr>
      </w:pPr>
      <w:bookmarkStart w:id="34" w:name="_Toc12952099"/>
      <w:r>
        <w:rPr>
          <w:rFonts w:hint="eastAsia" w:ascii="仿宋" w:hAnsi="仿宋" w:eastAsia="仿宋" w:cs="仿宋"/>
          <w:sz w:val="21"/>
          <w:szCs w:val="21"/>
          <w:highlight w:val="none"/>
        </w:rPr>
        <w:t>2.3 享受待遇条件</w:t>
      </w:r>
      <w:bookmarkEnd w:id="34"/>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a. 越城区惠民对象。</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b. 享受惠民政策的医疗费用，必须在惠民有效的时间段内。</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c. 24家惠民定点医疗机构，是越城区惠民人员对应的惠民定点医疗机构。</w:t>
      </w:r>
    </w:p>
    <w:p>
      <w:pPr>
        <w:spacing w:line="240" w:lineRule="auto"/>
        <w:rPr>
          <w:rFonts w:hint="eastAsia" w:ascii="仿宋" w:hAnsi="仿宋" w:eastAsia="仿宋" w:cs="仿宋"/>
          <w:szCs w:val="21"/>
          <w:highlight w:val="none"/>
        </w:rPr>
      </w:pPr>
      <w:r>
        <w:rPr>
          <w:rFonts w:hint="eastAsia" w:ascii="仿宋" w:hAnsi="仿宋" w:eastAsia="仿宋" w:cs="仿宋"/>
          <w:szCs w:val="21"/>
          <w:highlight w:val="none"/>
        </w:rPr>
        <w:t>d. 医保处于免责期时间，或者医保黑名单时，惠民不予报销。</w:t>
      </w:r>
    </w:p>
    <w:p>
      <w:pPr>
        <w:pStyle w:val="40"/>
        <w:spacing w:line="240" w:lineRule="auto"/>
        <w:jc w:val="both"/>
        <w:rPr>
          <w:rFonts w:hint="eastAsia" w:ascii="仿宋" w:hAnsi="仿宋" w:eastAsia="仿宋" w:cs="仿宋"/>
          <w:sz w:val="21"/>
          <w:szCs w:val="21"/>
          <w:highlight w:val="none"/>
        </w:rPr>
      </w:pPr>
      <w:bookmarkStart w:id="35" w:name="_Toc12952100"/>
      <w:r>
        <w:rPr>
          <w:rFonts w:hint="eastAsia" w:ascii="仿宋" w:hAnsi="仿宋" w:eastAsia="仿宋" w:cs="仿宋"/>
          <w:sz w:val="21"/>
          <w:szCs w:val="21"/>
          <w:highlight w:val="none"/>
        </w:rPr>
        <w:t>2.4结算政策</w:t>
      </w:r>
      <w:bookmarkEnd w:id="35"/>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a.符合惠民条件的人员，就医先按下表进行惠民减免，减免完成后费用再按医保政策报销。</w:t>
      </w:r>
    </w:p>
    <w:tbl>
      <w:tblPr>
        <w:tblStyle w:val="44"/>
        <w:tblW w:w="8371" w:type="dxa"/>
        <w:tblInd w:w="0" w:type="dxa"/>
        <w:tblLayout w:type="fixed"/>
        <w:tblCellMar>
          <w:top w:w="0" w:type="dxa"/>
          <w:left w:w="108" w:type="dxa"/>
          <w:bottom w:w="0" w:type="dxa"/>
          <w:right w:w="108" w:type="dxa"/>
        </w:tblCellMar>
      </w:tblPr>
      <w:tblGrid>
        <w:gridCol w:w="698"/>
        <w:gridCol w:w="7673"/>
      </w:tblGrid>
      <w:tr>
        <w:tblPrEx>
          <w:tblCellMar>
            <w:top w:w="0" w:type="dxa"/>
            <w:left w:w="108" w:type="dxa"/>
            <w:bottom w:w="0" w:type="dxa"/>
            <w:right w:w="108" w:type="dxa"/>
          </w:tblCellMar>
        </w:tblPrEx>
        <w:trPr>
          <w:trHeight w:val="337" w:hRule="atLeast"/>
        </w:trPr>
        <w:tc>
          <w:tcPr>
            <w:tcW w:w="69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eastAsia" w:ascii="仿宋" w:hAnsi="仿宋" w:eastAsia="仿宋" w:cs="仿宋"/>
                <w:color w:val="000000"/>
                <w:kern w:val="0"/>
                <w:szCs w:val="21"/>
                <w:highlight w:val="none"/>
              </w:rPr>
            </w:pPr>
            <w:bookmarkStart w:id="36" w:name="_Hlk11953526"/>
            <w:r>
              <w:rPr>
                <w:rFonts w:hint="eastAsia" w:ascii="仿宋" w:hAnsi="仿宋" w:eastAsia="仿宋" w:cs="仿宋"/>
                <w:color w:val="000000"/>
                <w:kern w:val="0"/>
                <w:szCs w:val="21"/>
                <w:highlight w:val="none"/>
              </w:rPr>
              <w:t>全免</w:t>
            </w:r>
          </w:p>
        </w:tc>
        <w:tc>
          <w:tcPr>
            <w:tcW w:w="7673" w:type="dxa"/>
            <w:tcBorders>
              <w:top w:val="single" w:color="auto" w:sz="4" w:space="0"/>
              <w:left w:val="nil"/>
              <w:bottom w:val="single" w:color="auto" w:sz="4" w:space="0"/>
              <w:right w:val="single" w:color="auto" w:sz="4" w:space="0"/>
            </w:tcBorders>
            <w:noWrap w:val="0"/>
            <w:vAlign w:val="bottom"/>
          </w:tcPr>
          <w:p>
            <w:pPr>
              <w:widowControl/>
              <w:spacing w:line="360" w:lineRule="auto"/>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普通门诊诊查费（一般诊疗费）、门急诊留观诊查费、专家门诊诊查费、住院诊查费、门诊（住院）注射费、门诊（住院）静脉输液</w:t>
            </w:r>
            <w:r>
              <w:rPr>
                <w:rFonts w:hint="eastAsia" w:ascii="仿宋" w:hAnsi="仿宋" w:eastAsia="仿宋" w:cs="仿宋"/>
                <w:kern w:val="0"/>
                <w:szCs w:val="21"/>
                <w:highlight w:val="none"/>
              </w:rPr>
              <w:t>费、住院空调费、住院陪床费、血液常规检查费、尿液常规检查费、粪便常规检查费、血糖检查费、肝功能检查费、肾功能检查费、煎药费、心电</w:t>
            </w:r>
            <w:r>
              <w:rPr>
                <w:rFonts w:hint="eastAsia" w:ascii="仿宋" w:hAnsi="仿宋" w:eastAsia="仿宋" w:cs="仿宋"/>
                <w:color w:val="000000"/>
                <w:kern w:val="0"/>
                <w:szCs w:val="21"/>
                <w:highlight w:val="none"/>
              </w:rPr>
              <w:t>监护费、输氧费、急诊观察床位费、住院护理费、X线透视费、胸片检查费、心电图检查费、</w:t>
            </w:r>
            <w:r>
              <w:rPr>
                <w:rFonts w:hint="eastAsia" w:ascii="仿宋" w:hAnsi="仿宋" w:eastAsia="仿宋" w:cs="仿宋"/>
                <w:kern w:val="0"/>
                <w:szCs w:val="21"/>
                <w:highlight w:val="none"/>
              </w:rPr>
              <w:t>B超检查费、</w:t>
            </w:r>
            <w:r>
              <w:rPr>
                <w:rFonts w:hint="eastAsia" w:ascii="仿宋" w:hAnsi="仿宋" w:eastAsia="仿宋" w:cs="仿宋"/>
                <w:color w:val="000000"/>
                <w:kern w:val="0"/>
                <w:szCs w:val="21"/>
                <w:highlight w:val="none"/>
              </w:rPr>
              <w:t>心功能检查费、肿瘤化疗费（不含药费）、血透费、住院手术费。</w:t>
            </w:r>
          </w:p>
        </w:tc>
      </w:tr>
      <w:tr>
        <w:tblPrEx>
          <w:tblCellMar>
            <w:top w:w="0" w:type="dxa"/>
            <w:left w:w="108" w:type="dxa"/>
            <w:bottom w:w="0" w:type="dxa"/>
            <w:right w:w="108" w:type="dxa"/>
          </w:tblCellMar>
        </w:tblPrEx>
        <w:trPr>
          <w:trHeight w:val="285" w:hRule="atLeast"/>
        </w:trPr>
        <w:tc>
          <w:tcPr>
            <w:tcW w:w="698" w:type="dxa"/>
            <w:tcBorders>
              <w:top w:val="nil"/>
              <w:left w:val="single" w:color="auto" w:sz="4" w:space="0"/>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减免</w:t>
            </w:r>
          </w:p>
        </w:tc>
        <w:tc>
          <w:tcPr>
            <w:tcW w:w="7673" w:type="dxa"/>
            <w:tcBorders>
              <w:top w:val="nil"/>
              <w:left w:val="nil"/>
              <w:bottom w:val="single" w:color="auto" w:sz="4" w:space="0"/>
              <w:right w:val="single" w:color="auto" w:sz="4" w:space="0"/>
            </w:tcBorders>
            <w:noWrap w:val="0"/>
            <w:vAlign w:val="bottom"/>
          </w:tcPr>
          <w:p>
            <w:pPr>
              <w:widowControl/>
              <w:spacing w:line="360" w:lineRule="auto"/>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检查、检验、治疗费及自制制剂减免20%。</w:t>
            </w:r>
          </w:p>
        </w:tc>
      </w:tr>
      <w:tr>
        <w:tblPrEx>
          <w:tblCellMar>
            <w:top w:w="0" w:type="dxa"/>
            <w:left w:w="108" w:type="dxa"/>
            <w:bottom w:w="0" w:type="dxa"/>
            <w:right w:w="108" w:type="dxa"/>
          </w:tblCellMar>
        </w:tblPrEx>
        <w:trPr>
          <w:trHeight w:val="570" w:hRule="atLeast"/>
        </w:trPr>
        <w:tc>
          <w:tcPr>
            <w:tcW w:w="698" w:type="dxa"/>
            <w:tcBorders>
              <w:top w:val="nil"/>
              <w:left w:val="single" w:color="auto" w:sz="4" w:space="0"/>
              <w:bottom w:val="single" w:color="auto" w:sz="4" w:space="0"/>
              <w:right w:val="single" w:color="auto" w:sz="4" w:space="0"/>
            </w:tcBorders>
            <w:noWrap/>
            <w:vAlign w:val="center"/>
          </w:tcPr>
          <w:p>
            <w:pPr>
              <w:widowControl/>
              <w:spacing w:line="360" w:lineRule="auto"/>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优惠</w:t>
            </w:r>
          </w:p>
        </w:tc>
        <w:tc>
          <w:tcPr>
            <w:tcW w:w="7673" w:type="dxa"/>
            <w:tcBorders>
              <w:top w:val="nil"/>
              <w:left w:val="nil"/>
              <w:bottom w:val="single" w:color="auto" w:sz="4" w:space="0"/>
              <w:right w:val="single" w:color="auto" w:sz="4" w:space="0"/>
            </w:tcBorders>
            <w:noWrap w:val="0"/>
            <w:vAlign w:val="bottom"/>
          </w:tcPr>
          <w:p>
            <w:pPr>
              <w:widowControl/>
              <w:spacing w:line="360" w:lineRule="auto"/>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门诊药费优惠20%、住院药费优惠25%、门诊中药饮片优惠30%，住院中药饮片优惠30%。</w:t>
            </w:r>
          </w:p>
        </w:tc>
      </w:tr>
      <w:bookmarkEnd w:id="36"/>
    </w:tbl>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b.超出医保限定支付范围的医疗服务项目、药品(强制自费)，不纳入惠民减免目录。</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c.▲自动生成相应报表，能进行日对帐业务（统计日期与医保结算时间一致，每月1日至月底）；按照月取数口径做季报、半年报、全年年报汇总。</w:t>
      </w:r>
    </w:p>
    <w:p>
      <w:pPr>
        <w:spacing w:line="240" w:lineRule="auto"/>
        <w:rPr>
          <w:rFonts w:hint="eastAsia" w:ascii="仿宋" w:hAnsi="仿宋" w:eastAsia="仿宋" w:cs="仿宋"/>
          <w:szCs w:val="21"/>
          <w:highlight w:val="none"/>
        </w:rPr>
      </w:pPr>
      <w:r>
        <w:rPr>
          <w:rFonts w:hint="eastAsia" w:ascii="仿宋" w:hAnsi="仿宋" w:eastAsia="仿宋" w:cs="仿宋"/>
          <w:szCs w:val="21"/>
          <w:highlight w:val="none"/>
        </w:rPr>
        <w:t>d.限惠民+医保双重性质结算,不允许光惠民结算。</w:t>
      </w:r>
    </w:p>
    <w:p>
      <w:pPr>
        <w:pStyle w:val="40"/>
        <w:spacing w:line="240" w:lineRule="auto"/>
        <w:ind w:firstLine="413" w:firstLineChars="196"/>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四、商务条款</w:t>
      </w:r>
    </w:p>
    <w:p>
      <w:pPr>
        <w:numPr>
          <w:ilvl w:val="0"/>
          <w:numId w:val="7"/>
        </w:num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项目实施要求：</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1.1根据《绍兴市卫生健康委员会关于做好处方信息交换与流转有关工作通知》、《关于开展惠民基金报销补充接口对接的通知》的文件要求完成医院在用系统的全部改造。</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1.2提供7x24级别的技术支持服务，对于系统故障，要求提供快速响应机制，满足医院业务连续性要求。</w:t>
      </w:r>
    </w:p>
    <w:p>
      <w:pPr>
        <w:pStyle w:val="42"/>
        <w:spacing w:line="360" w:lineRule="auto"/>
        <w:ind w:firstLine="0" w:firstLineChars="0"/>
        <w:rPr>
          <w:rFonts w:hint="eastAsia" w:ascii="仿宋" w:hAnsi="仿宋" w:eastAsia="仿宋" w:cs="仿宋"/>
          <w:szCs w:val="21"/>
          <w:highlight w:val="none"/>
        </w:rPr>
      </w:pPr>
      <w:r>
        <w:rPr>
          <w:rFonts w:hint="eastAsia" w:ascii="仿宋" w:hAnsi="仿宋" w:eastAsia="仿宋" w:cs="仿宋"/>
          <w:szCs w:val="21"/>
          <w:highlight w:val="none"/>
        </w:rPr>
        <w:t>1.3提供全面、灵活的服务支持方式和手段，包括不限于网站服务、热线支持、邮件支持、现场支持等。</w:t>
      </w:r>
    </w:p>
    <w:p>
      <w:pPr>
        <w:pStyle w:val="42"/>
        <w:spacing w:line="360" w:lineRule="auto"/>
        <w:ind w:firstLine="0" w:firstLineChars="0"/>
        <w:rPr>
          <w:rFonts w:hint="eastAsia" w:ascii="仿宋" w:hAnsi="仿宋" w:eastAsia="仿宋" w:cs="仿宋"/>
          <w:szCs w:val="21"/>
          <w:highlight w:val="none"/>
        </w:rPr>
      </w:pPr>
      <w:r>
        <w:rPr>
          <w:rFonts w:hint="eastAsia" w:ascii="仿宋" w:hAnsi="仿宋" w:eastAsia="仿宋" w:cs="仿宋"/>
          <w:szCs w:val="21"/>
          <w:highlight w:val="none"/>
        </w:rPr>
        <w:t>1.4工期：合同签定后根据相关文件通知规定的时间内完成。</w:t>
      </w:r>
    </w:p>
    <w:p>
      <w:pPr>
        <w:spacing w:line="360" w:lineRule="auto"/>
        <w:ind w:firstLine="412"/>
        <w:rPr>
          <w:rFonts w:hint="eastAsia" w:ascii="仿宋" w:hAnsi="仿宋" w:eastAsia="仿宋" w:cs="仿宋"/>
          <w:b/>
          <w:bCs/>
          <w:szCs w:val="21"/>
          <w:highlight w:val="none"/>
        </w:rPr>
      </w:pPr>
      <w:r>
        <w:rPr>
          <w:rFonts w:hint="eastAsia" w:ascii="仿宋" w:hAnsi="仿宋" w:eastAsia="仿宋" w:cs="仿宋"/>
          <w:b/>
          <w:bCs/>
          <w:szCs w:val="21"/>
          <w:highlight w:val="none"/>
        </w:rPr>
        <w:t>2</w:t>
      </w:r>
      <w:r>
        <w:rPr>
          <w:rFonts w:hint="eastAsia" w:ascii="仿宋" w:hAnsi="仿宋" w:eastAsia="仿宋" w:cs="仿宋"/>
          <w:szCs w:val="21"/>
          <w:highlight w:val="none"/>
        </w:rPr>
        <w:t>、项目售后要求</w:t>
      </w:r>
    </w:p>
    <w:p>
      <w:pPr>
        <w:pStyle w:val="2"/>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2.1</w:t>
      </w:r>
      <w:bookmarkStart w:id="37" w:name="_Hlk526943987"/>
      <w:r>
        <w:rPr>
          <w:rFonts w:hint="eastAsia" w:ascii="仿宋" w:hAnsi="仿宋" w:eastAsia="仿宋" w:cs="仿宋"/>
          <w:sz w:val="21"/>
          <w:szCs w:val="21"/>
          <w:highlight w:val="none"/>
        </w:rPr>
        <w:t>本项目质保期一年，从系统验收合格之日起计算。质保期、软件质保费支付/续保费用等需在投标文件中详细说明和承诺。质保期后的系统维护费为不超过项目中标额的8%。</w:t>
      </w:r>
    </w:p>
    <w:p>
      <w:pPr>
        <w:rPr>
          <w:rFonts w:hint="eastAsia" w:ascii="仿宋" w:hAnsi="仿宋" w:eastAsia="仿宋" w:cs="仿宋"/>
          <w:szCs w:val="21"/>
          <w:highlight w:val="none"/>
          <w:lang w:val="zh-CN"/>
        </w:rPr>
      </w:pPr>
      <w:r>
        <w:rPr>
          <w:rFonts w:hint="eastAsia" w:ascii="仿宋" w:hAnsi="仿宋" w:eastAsia="仿宋" w:cs="仿宋"/>
          <w:szCs w:val="21"/>
          <w:highlight w:val="none"/>
          <w:lang w:val="zh-CN"/>
        </w:rPr>
        <w:t>2.2中标人需本项目配备技术服务团队，并提供一年以上质保期和承诺永久技术支持，包括各种突发事件采取应急措施等。</w:t>
      </w:r>
    </w:p>
    <w:p>
      <w:pPr>
        <w:spacing w:line="360" w:lineRule="auto"/>
        <w:rPr>
          <w:rFonts w:hint="eastAsia" w:ascii="仿宋" w:hAnsi="仿宋" w:eastAsia="仿宋" w:cs="仿宋"/>
          <w:szCs w:val="21"/>
          <w:highlight w:val="none"/>
          <w:lang w:val="zh-CN"/>
        </w:rPr>
      </w:pPr>
      <w:r>
        <w:rPr>
          <w:rFonts w:hint="eastAsia" w:ascii="仿宋" w:hAnsi="仿宋" w:eastAsia="仿宋" w:cs="仿宋"/>
          <w:szCs w:val="21"/>
          <w:highlight w:val="none"/>
          <w:lang w:val="zh-CN"/>
        </w:rPr>
        <w:t>2.3质保期内的工作内容包括：应急维护；客户化修改；数据库优化；系统更新；（不含医保涉及的医保政策改动和系统大的变化调整）</w:t>
      </w:r>
    </w:p>
    <w:p>
      <w:pPr>
        <w:spacing w:line="360" w:lineRule="auto"/>
        <w:rPr>
          <w:rFonts w:hint="eastAsia" w:ascii="仿宋" w:hAnsi="仿宋" w:eastAsia="仿宋" w:cs="仿宋"/>
          <w:szCs w:val="21"/>
          <w:highlight w:val="none"/>
          <w:lang w:val="zh-CN"/>
        </w:rPr>
      </w:pPr>
      <w:r>
        <w:rPr>
          <w:rFonts w:hint="eastAsia" w:ascii="仿宋" w:hAnsi="仿宋" w:eastAsia="仿宋" w:cs="仿宋"/>
          <w:szCs w:val="21"/>
          <w:highlight w:val="none"/>
          <w:lang w:val="zh-CN"/>
        </w:rPr>
        <w:t>2.4质保期内的人员要求：售后服务人员须在接到维修电话后30分钟内进行技术响应，4小时内赶到现场，提供不间断的服务直到结束。</w:t>
      </w:r>
    </w:p>
    <w:p>
      <w:pPr>
        <w:pStyle w:val="2"/>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2.5非正常工作时间中标人接到维护电话后，中标人在1小时内派工程师到现场实施维护，及时排除软件故障，以保证医院业务工作正常运行。合同期内提供24小时技术电话支持（7x24）。所有费用由中标人承担。</w:t>
      </w:r>
      <w:bookmarkEnd w:id="37"/>
    </w:p>
    <w:p>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3、项目验收要求</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提供的货物在使用前进行调试、培训，符合技术要求后进行最终验收，并提供验收报告。</w:t>
      </w:r>
    </w:p>
    <w:p>
      <w:pPr>
        <w:spacing w:line="360" w:lineRule="auto"/>
        <w:ind w:firstLine="315" w:firstLineChars="150"/>
        <w:rPr>
          <w:rFonts w:hint="eastAsia" w:ascii="仿宋" w:hAnsi="仿宋" w:eastAsia="仿宋" w:cs="仿宋"/>
          <w:szCs w:val="21"/>
          <w:highlight w:val="none"/>
        </w:rPr>
      </w:pPr>
      <w:r>
        <w:rPr>
          <w:rFonts w:hint="eastAsia" w:ascii="仿宋" w:hAnsi="仿宋" w:eastAsia="仿宋" w:cs="仿宋"/>
          <w:szCs w:val="21"/>
          <w:highlight w:val="none"/>
        </w:rPr>
        <w:t>4、付款方式</w:t>
      </w:r>
    </w:p>
    <w:p>
      <w:pPr>
        <w:spacing w:line="360" w:lineRule="auto"/>
        <w:ind w:firstLine="315" w:firstLineChars="150"/>
        <w:rPr>
          <w:rFonts w:hint="eastAsia" w:ascii="仿宋" w:hAnsi="仿宋" w:eastAsia="仿宋" w:cs="仿宋"/>
          <w:szCs w:val="21"/>
          <w:highlight w:val="none"/>
        </w:rPr>
      </w:pPr>
      <w:r>
        <w:rPr>
          <w:rFonts w:hint="eastAsia" w:ascii="仿宋" w:hAnsi="仿宋" w:eastAsia="仿宋" w:cs="仿宋"/>
          <w:szCs w:val="21"/>
          <w:highlight w:val="none"/>
        </w:rPr>
        <w:t>抗疫期间，按照浙财采监[2020]3号文件和浙财采监〔2022〕3号文件要求执行，具体付款方式由双方协商后在合同中明确。</w:t>
      </w:r>
    </w:p>
    <w:p>
      <w:pPr>
        <w:spacing w:line="360" w:lineRule="auto"/>
        <w:ind w:firstLine="315" w:firstLineChars="150"/>
        <w:rPr>
          <w:rFonts w:hint="eastAsia" w:ascii="仿宋" w:hAnsi="仿宋" w:eastAsia="仿宋" w:cs="仿宋"/>
          <w:szCs w:val="21"/>
          <w:highlight w:val="none"/>
        </w:rPr>
      </w:pPr>
      <w:r>
        <w:rPr>
          <w:rFonts w:hint="eastAsia" w:ascii="仿宋" w:hAnsi="仿宋" w:eastAsia="仿宋" w:cs="仿宋"/>
          <w:szCs w:val="21"/>
          <w:highlight w:val="none"/>
        </w:rPr>
        <w:t>5、其他：</w:t>
      </w:r>
    </w:p>
    <w:p>
      <w:pPr>
        <w:spacing w:line="360" w:lineRule="auto"/>
        <w:rPr>
          <w:rFonts w:hint="eastAsia" w:ascii="仿宋" w:hAnsi="仿宋" w:eastAsia="仿宋" w:cs="仿宋"/>
          <w:b/>
          <w:szCs w:val="21"/>
          <w:highlight w:val="none"/>
        </w:rPr>
      </w:pPr>
      <w:r>
        <w:rPr>
          <w:rFonts w:hint="eastAsia" w:ascii="仿宋" w:hAnsi="仿宋" w:eastAsia="仿宋" w:cs="仿宋"/>
          <w:szCs w:val="21"/>
          <w:highlight w:val="none"/>
        </w:rPr>
        <w:t>a.本次招标的项目内容需实现与现有信息管理系统软件的无缝衔接，中标公司承担所产生的接口费用、改造费用、专家验收费用，采购方不再另行支付费用。</w:t>
      </w:r>
    </w:p>
    <w:p>
      <w:pPr>
        <w:spacing w:line="360" w:lineRule="auto"/>
        <w:rPr>
          <w:rFonts w:hint="eastAsia" w:ascii="仿宋" w:hAnsi="仿宋" w:eastAsia="仿宋" w:cs="仿宋"/>
          <w:b/>
          <w:szCs w:val="21"/>
          <w:highlight w:val="none"/>
        </w:rPr>
      </w:pPr>
      <w:r>
        <w:rPr>
          <w:rFonts w:hint="eastAsia" w:ascii="仿宋" w:hAnsi="仿宋" w:eastAsia="仿宋" w:cs="仿宋"/>
          <w:szCs w:val="21"/>
          <w:highlight w:val="none"/>
        </w:rPr>
        <w:t>b.中标单位无条件接受我院通过招标决定的信息化监理公司对项目做全流程全链条监控，监理费用为项目中标价的2.78%，监理费用由中标单位负担；</w:t>
      </w:r>
    </w:p>
    <w:p>
      <w:pPr>
        <w:spacing w:line="360" w:lineRule="auto"/>
        <w:rPr>
          <w:rFonts w:hint="eastAsia" w:ascii="仿宋" w:hAnsi="仿宋" w:eastAsia="仿宋" w:cs="仿宋"/>
          <w:szCs w:val="21"/>
          <w:highlight w:val="none"/>
        </w:rPr>
      </w:pPr>
      <w:r>
        <w:rPr>
          <w:rFonts w:hint="eastAsia" w:ascii="仿宋" w:hAnsi="仿宋" w:eastAsia="仿宋" w:cs="仿宋"/>
          <w:highlight w:val="none"/>
        </w:rPr>
        <w:t>c.</w:t>
      </w:r>
      <w:r>
        <w:rPr>
          <w:rFonts w:hint="eastAsia" w:ascii="仿宋" w:hAnsi="仿宋" w:eastAsia="仿宋" w:cs="仿宋"/>
          <w:kern w:val="0"/>
          <w:sz w:val="24"/>
          <w:highlight w:val="none"/>
        </w:rPr>
        <w:t xml:space="preserve"> </w:t>
      </w:r>
      <w:r>
        <w:rPr>
          <w:rFonts w:hint="eastAsia" w:ascii="仿宋" w:hAnsi="仿宋" w:eastAsia="仿宋" w:cs="仿宋"/>
          <w:szCs w:val="21"/>
          <w:highlight w:val="none"/>
        </w:rPr>
        <w:t>根据《绍兴市卫生健康委员会关于做好处方信息交换与流转有关工作通知》、《关于开展惠民基金报销补充接口对接的通知》的文件要求完成医院在用系统的全部改造。</w:t>
      </w:r>
    </w:p>
    <w:p>
      <w:pPr>
        <w:snapToGrid w:val="0"/>
        <w:spacing w:before="120" w:after="120" w:line="360" w:lineRule="auto"/>
        <w:ind w:firstLine="482" w:firstLineChars="200"/>
        <w:rPr>
          <w:rFonts w:hint="eastAsia" w:ascii="仿宋" w:hAnsi="仿宋" w:eastAsia="仿宋" w:cs="仿宋"/>
          <w:b/>
          <w:bCs/>
          <w:sz w:val="24"/>
          <w:highlight w:val="none"/>
        </w:rPr>
      </w:pPr>
    </w:p>
    <w:bookmarkEnd w:id="7"/>
    <w:bookmarkEnd w:id="12"/>
    <w:bookmarkEnd w:id="13"/>
    <w:p>
      <w:pPr>
        <w:pStyle w:val="24"/>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政府采购合同参考范本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283"/>
        <w:rPr>
          <w:rFonts w:hint="eastAsia" w:ascii="仿宋" w:hAnsi="仿宋" w:eastAsia="仿宋" w:cs="仿宋"/>
          <w:szCs w:val="24"/>
          <w:highlight w:val="none"/>
        </w:rPr>
      </w:pPr>
    </w:p>
    <w:p>
      <w:pPr>
        <w:pStyle w:val="283"/>
        <w:rPr>
          <w:rFonts w:hint="eastAsia" w:ascii="仿宋" w:hAnsi="仿宋" w:eastAsia="仿宋" w:cs="仿宋"/>
          <w:szCs w:val="24"/>
          <w:highlight w:val="none"/>
        </w:rPr>
      </w:pPr>
    </w:p>
    <w:p>
      <w:pPr>
        <w:pStyle w:val="283"/>
        <w:jc w:val="center"/>
        <w:rPr>
          <w:rFonts w:hint="eastAsia" w:ascii="仿宋" w:hAnsi="仿宋" w:eastAsia="仿宋" w:cs="仿宋"/>
          <w:szCs w:val="24"/>
          <w:highlight w:val="none"/>
        </w:rPr>
      </w:pPr>
    </w:p>
    <w:p>
      <w:pPr>
        <w:pStyle w:val="283"/>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pStyle w:val="283"/>
        <w:rPr>
          <w:rFonts w:hint="eastAsia" w:ascii="仿宋" w:hAnsi="仿宋" w:eastAsia="仿宋" w:cs="仿宋"/>
          <w:szCs w:val="24"/>
          <w:highlight w:val="none"/>
        </w:rPr>
      </w:pPr>
    </w:p>
    <w:p>
      <w:pPr>
        <w:pStyle w:val="283"/>
        <w:rPr>
          <w:rFonts w:hint="eastAsia" w:ascii="仿宋" w:hAnsi="仿宋" w:eastAsia="仿宋" w:cs="仿宋"/>
          <w:szCs w:val="24"/>
          <w:highlight w:val="none"/>
        </w:rPr>
      </w:pP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282"/>
        <w:spacing w:before="120" w:line="22" w:lineRule="atLeast"/>
        <w:rPr>
          <w:rFonts w:hint="eastAsia" w:ascii="仿宋" w:hAnsi="仿宋" w:eastAsia="仿宋" w:cs="仿宋"/>
          <w:szCs w:val="24"/>
          <w:highlight w:val="none"/>
        </w:rPr>
      </w:pPr>
    </w:p>
    <w:p>
      <w:pPr>
        <w:pStyle w:val="282"/>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38" w:name="_Toc24059"/>
      <w:bookmarkStart w:id="39" w:name="_Toc3029"/>
      <w:bookmarkStart w:id="40" w:name="_Toc2232"/>
      <w:r>
        <w:rPr>
          <w:rFonts w:hint="eastAsia" w:ascii="仿宋" w:hAnsi="仿宋" w:eastAsia="仿宋" w:cs="仿宋"/>
          <w:b/>
          <w:sz w:val="24"/>
          <w:highlight w:val="none"/>
        </w:rPr>
        <w:t>1.1 合同组成部分</w:t>
      </w:r>
      <w:bookmarkEnd w:id="38"/>
      <w:bookmarkEnd w:id="39"/>
      <w:bookmarkEnd w:id="4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41" w:name="_Toc27126"/>
      <w:bookmarkStart w:id="42" w:name="_Toc24300"/>
      <w:bookmarkStart w:id="43" w:name="_Toc21295"/>
      <w:r>
        <w:rPr>
          <w:rFonts w:hint="eastAsia" w:ascii="仿宋" w:hAnsi="仿宋" w:eastAsia="仿宋" w:cs="仿宋"/>
          <w:b/>
          <w:sz w:val="24"/>
          <w:highlight w:val="none"/>
        </w:rPr>
        <w:t>1.2 货物</w:t>
      </w:r>
      <w:bookmarkEnd w:id="41"/>
      <w:bookmarkEnd w:id="42"/>
      <w:bookmarkEnd w:id="43"/>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货物名称：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4" w:name="_Toc21551"/>
      <w:bookmarkStart w:id="45" w:name="_Toc23292"/>
      <w:bookmarkStart w:id="46" w:name="_Toc21631"/>
      <w:r>
        <w:rPr>
          <w:rFonts w:hint="eastAsia" w:ascii="仿宋" w:hAnsi="仿宋" w:eastAsia="仿宋" w:cs="仿宋"/>
          <w:b/>
          <w:sz w:val="24"/>
          <w:highlight w:val="none"/>
        </w:rPr>
        <w:t>1.3 价款</w:t>
      </w:r>
      <w:bookmarkEnd w:id="44"/>
      <w:bookmarkEnd w:id="45"/>
      <w:bookmarkEnd w:id="4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hint="eastAsia" w:ascii="仿宋" w:hAnsi="仿宋" w:eastAsia="仿宋" w:cs="仿宋"/>
                <w:sz w:val="24"/>
                <w:szCs w:val="24"/>
                <w:highlight w:val="none"/>
              </w:rPr>
            </w:pPr>
          </w:p>
        </w:tc>
      </w:tr>
    </w:tbl>
    <w:p>
      <w:pPr>
        <w:spacing w:line="440" w:lineRule="exact"/>
        <w:ind w:firstLine="482" w:firstLineChars="200"/>
        <w:outlineLvl w:val="0"/>
        <w:rPr>
          <w:rFonts w:hint="eastAsia" w:ascii="仿宋" w:hAnsi="仿宋" w:eastAsia="仿宋" w:cs="仿宋"/>
          <w:b/>
          <w:sz w:val="24"/>
          <w:highlight w:val="none"/>
        </w:rPr>
      </w:pPr>
      <w:bookmarkStart w:id="47" w:name="_Toc1814"/>
      <w:bookmarkStart w:id="48" w:name="_Toc10340"/>
      <w:bookmarkStart w:id="49" w:name="_Toc22618"/>
      <w:r>
        <w:rPr>
          <w:rFonts w:hint="eastAsia" w:ascii="仿宋" w:hAnsi="仿宋" w:eastAsia="仿宋" w:cs="仿宋"/>
          <w:b/>
          <w:sz w:val="24"/>
          <w:highlight w:val="none"/>
        </w:rPr>
        <w:t>1.4 付款</w:t>
      </w:r>
      <w:bookmarkEnd w:id="47"/>
      <w:bookmarkEnd w:id="48"/>
      <w:bookmarkEnd w:id="49"/>
      <w:r>
        <w:rPr>
          <w:rFonts w:hint="eastAsia" w:ascii="仿宋" w:hAnsi="仿宋" w:eastAsia="仿宋" w:cs="仿宋"/>
          <w:b/>
          <w:sz w:val="24"/>
          <w:highlight w:val="none"/>
        </w:rPr>
        <w:t>方式、时间和条件</w:t>
      </w:r>
    </w:p>
    <w:p>
      <w:pPr>
        <w:pStyle w:val="284"/>
        <w:spacing w:before="0" w:beforeAutospacing="0" w:after="0" w:afterAutospacing="0" w:line="440" w:lineRule="exact"/>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hint="eastAsia" w:ascii="仿宋" w:hAnsi="仿宋" w:eastAsia="仿宋" w:cs="仿宋"/>
          <w:b/>
          <w:sz w:val="24"/>
          <w:highlight w:val="none"/>
        </w:rPr>
      </w:pPr>
      <w:bookmarkStart w:id="50" w:name="_Toc2846"/>
      <w:bookmarkStart w:id="51" w:name="_Toc19304"/>
      <w:bookmarkStart w:id="52" w:name="_Toc32071"/>
      <w:r>
        <w:rPr>
          <w:rFonts w:hint="eastAsia" w:ascii="仿宋" w:hAnsi="仿宋" w:eastAsia="仿宋" w:cs="仿宋"/>
          <w:b/>
          <w:sz w:val="24"/>
          <w:highlight w:val="none"/>
        </w:rPr>
        <w:t>1.5 货物交付期限、地点和方式</w:t>
      </w:r>
      <w:bookmarkEnd w:id="50"/>
      <w:bookmarkEnd w:id="51"/>
      <w:bookmarkEnd w:id="52"/>
    </w:p>
    <w:p>
      <w:pP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1.5.1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53" w:name="_Toc27250"/>
      <w:bookmarkStart w:id="54" w:name="_Toc19554"/>
      <w:bookmarkStart w:id="55" w:name="_Toc21423"/>
      <w:r>
        <w:rPr>
          <w:rFonts w:hint="eastAsia" w:ascii="仿宋" w:hAnsi="仿宋" w:eastAsia="仿宋" w:cs="仿宋"/>
          <w:b/>
          <w:sz w:val="24"/>
          <w:highlight w:val="none"/>
        </w:rPr>
        <w:t>1.6 违约责任</w:t>
      </w:r>
      <w:bookmarkEnd w:id="53"/>
      <w:bookmarkEnd w:id="54"/>
      <w:bookmarkEnd w:id="5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1.6.7违约责任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56" w:name="_Toc16021"/>
      <w:bookmarkStart w:id="57" w:name="_Toc28375"/>
      <w:bookmarkStart w:id="58" w:name="_Toc15583"/>
      <w:r>
        <w:rPr>
          <w:rFonts w:hint="eastAsia" w:ascii="仿宋" w:hAnsi="仿宋" w:eastAsia="仿宋" w:cs="仿宋"/>
          <w:b/>
          <w:sz w:val="24"/>
          <w:highlight w:val="none"/>
        </w:rPr>
        <w:t>1.7 合同争议的解决</w:t>
      </w:r>
      <w:bookmarkEnd w:id="56"/>
      <w:bookmarkEnd w:id="57"/>
      <w:bookmarkEnd w:id="58"/>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1.7.1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1.7.2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59" w:name="_Toc7245"/>
      <w:bookmarkStart w:id="60" w:name="_Toc15322"/>
      <w:bookmarkStart w:id="61" w:name="_Toc11173"/>
      <w:r>
        <w:rPr>
          <w:rFonts w:hint="eastAsia" w:ascii="仿宋" w:hAnsi="仿宋" w:eastAsia="仿宋" w:cs="仿宋"/>
          <w:b/>
          <w:sz w:val="24"/>
          <w:highlight w:val="none"/>
        </w:rPr>
        <w:t>1.8 合同生效</w:t>
      </w:r>
      <w:bookmarkEnd w:id="59"/>
      <w:bookmarkEnd w:id="60"/>
      <w:bookmarkEnd w:id="61"/>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24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24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spacing w:line="560" w:lineRule="exact"/>
        <w:jc w:val="left"/>
        <w:rPr>
          <w:rFonts w:hint="eastAsia" w:ascii="仿宋" w:hAnsi="仿宋" w:eastAsia="仿宋" w:cs="仿宋"/>
          <w:b/>
          <w:sz w:val="24"/>
          <w:highlight w:val="none"/>
        </w:rPr>
      </w:pPr>
      <w:bookmarkStart w:id="62" w:name="_Toc331685783"/>
    </w:p>
    <w:p>
      <w:pPr>
        <w:pStyle w:val="283"/>
        <w:pageBreakBefore/>
        <w:spacing w:line="560" w:lineRule="exact"/>
        <w:ind w:firstLine="723"/>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合同一般条款</w:t>
      </w:r>
      <w:bookmarkEnd w:id="62"/>
    </w:p>
    <w:p>
      <w:pPr>
        <w:spacing w:line="560" w:lineRule="exact"/>
        <w:ind w:firstLine="482" w:firstLineChars="200"/>
        <w:outlineLvl w:val="0"/>
        <w:rPr>
          <w:rFonts w:hint="eastAsia" w:ascii="仿宋" w:hAnsi="仿宋" w:eastAsia="仿宋" w:cs="仿宋"/>
          <w:b/>
          <w:sz w:val="24"/>
          <w:highlight w:val="none"/>
        </w:rPr>
      </w:pPr>
      <w:bookmarkStart w:id="63" w:name="_Ref467379205"/>
      <w:bookmarkStart w:id="64" w:name="_Ref467378463"/>
      <w:bookmarkStart w:id="65" w:name="_Ref467378404"/>
      <w:bookmarkStart w:id="66" w:name="_Toc279701240"/>
      <w:bookmarkStart w:id="67" w:name="_Ref467379101"/>
      <w:bookmarkStart w:id="68" w:name="_Toc487900349"/>
      <w:bookmarkStart w:id="69" w:name="_Ref467379214"/>
      <w:bookmarkStart w:id="70" w:name="_Ref467378499"/>
      <w:bookmarkStart w:id="71" w:name="_Ref467379094"/>
      <w:bookmarkStart w:id="72" w:name="_Toc28763"/>
      <w:bookmarkStart w:id="73" w:name="_Toc16917"/>
      <w:bookmarkStart w:id="74" w:name="_Toc259093669"/>
      <w:bookmarkStart w:id="75" w:name="_Ref467379109"/>
      <w:bookmarkStart w:id="76" w:name="_Ref467379225"/>
      <w:bookmarkStart w:id="77" w:name="_Ref467379195"/>
      <w:bookmarkStart w:id="78" w:name="_Toc19614"/>
      <w:r>
        <w:rPr>
          <w:rFonts w:hint="eastAsia" w:ascii="仿宋" w:hAnsi="仿宋" w:eastAsia="仿宋" w:cs="仿宋"/>
          <w:b/>
          <w:sz w:val="24"/>
          <w:highlight w:val="none"/>
        </w:rPr>
        <w:t>2.1 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highlight w:val="none"/>
        </w:rPr>
      </w:pPr>
      <w:bookmarkStart w:id="79" w:name="_Ref467378840"/>
      <w:r>
        <w:rPr>
          <w:rFonts w:hint="eastAsia" w:ascii="仿宋" w:hAnsi="仿宋" w:eastAsia="仿宋" w:cs="仿宋"/>
          <w:sz w:val="24"/>
          <w:highlight w:val="none"/>
        </w:rPr>
        <w:t>2.1.4 “甲方”系指与中标供应商签署合同的采购人</w:t>
      </w:r>
      <w:bookmarkEnd w:id="79"/>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bookmarkStart w:id="80" w:name="_Ref467379400"/>
      <w:r>
        <w:rPr>
          <w:rFonts w:hint="eastAsia" w:ascii="仿宋" w:hAnsi="仿宋" w:eastAsia="仿宋" w:cs="仿宋"/>
          <w:sz w:val="24"/>
          <w:highlight w:val="none"/>
        </w:rPr>
        <w:t>2.1.5 “乙方”系指根据合同约定交付货物的中标供应商</w:t>
      </w:r>
      <w:bookmarkEnd w:id="80"/>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bookmarkStart w:id="81" w:name="_Ref467379436"/>
      <w:r>
        <w:rPr>
          <w:rFonts w:hint="eastAsia" w:ascii="仿宋" w:hAnsi="仿宋" w:eastAsia="仿宋" w:cs="仿宋"/>
          <w:sz w:val="24"/>
          <w:highlight w:val="none"/>
        </w:rPr>
        <w:t>2.1.6 “现场”系指合同约定货物将要运至或者安装的地点。</w:t>
      </w:r>
      <w:bookmarkEnd w:id="81"/>
    </w:p>
    <w:p>
      <w:pPr>
        <w:spacing w:line="560" w:lineRule="exact"/>
        <w:ind w:firstLine="482" w:firstLineChars="200"/>
        <w:outlineLvl w:val="0"/>
        <w:rPr>
          <w:rFonts w:hint="eastAsia" w:ascii="仿宋" w:hAnsi="仿宋" w:eastAsia="仿宋" w:cs="仿宋"/>
          <w:b/>
          <w:sz w:val="24"/>
          <w:highlight w:val="none"/>
        </w:rPr>
      </w:pPr>
      <w:bookmarkStart w:id="82" w:name="_Toc279701241"/>
      <w:bookmarkStart w:id="83" w:name="_Toc32504"/>
      <w:bookmarkStart w:id="84" w:name="_Toc27635"/>
      <w:bookmarkStart w:id="85" w:name="_Toc259093670"/>
      <w:bookmarkStart w:id="86" w:name="_Toc487900350"/>
      <w:bookmarkStart w:id="87" w:name="_Toc13336"/>
      <w:r>
        <w:rPr>
          <w:rFonts w:hint="eastAsia" w:ascii="仿宋" w:hAnsi="仿宋" w:eastAsia="仿宋" w:cs="仿宋"/>
          <w:b/>
          <w:sz w:val="24"/>
          <w:highlight w:val="none"/>
        </w:rPr>
        <w:t>2.2 技术规范</w:t>
      </w:r>
      <w:bookmarkEnd w:id="82"/>
      <w:bookmarkEnd w:id="83"/>
      <w:bookmarkEnd w:id="84"/>
      <w:bookmarkEnd w:id="85"/>
      <w:bookmarkEnd w:id="86"/>
      <w:bookmarkEnd w:id="8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88" w:name="_Toc259093671"/>
      <w:bookmarkStart w:id="89" w:name="_Toc27853"/>
      <w:bookmarkStart w:id="90" w:name="_Toc9829"/>
      <w:bookmarkStart w:id="91" w:name="_Toc487900351"/>
      <w:bookmarkStart w:id="92" w:name="_Toc279701242"/>
      <w:bookmarkStart w:id="93" w:name="_Toc31634"/>
      <w:r>
        <w:rPr>
          <w:rFonts w:hint="eastAsia" w:ascii="仿宋" w:hAnsi="仿宋" w:eastAsia="仿宋" w:cs="仿宋"/>
          <w:b/>
          <w:sz w:val="24"/>
          <w:highlight w:val="none"/>
        </w:rPr>
        <w:t>2.3 知识产权</w:t>
      </w:r>
      <w:bookmarkEnd w:id="88"/>
      <w:bookmarkEnd w:id="89"/>
      <w:bookmarkEnd w:id="90"/>
      <w:bookmarkEnd w:id="91"/>
      <w:bookmarkEnd w:id="92"/>
      <w:bookmarkEnd w:id="9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94" w:name="_Toc29149"/>
      <w:bookmarkStart w:id="95" w:name="_Toc4194"/>
      <w:bookmarkStart w:id="96" w:name="_Toc11932"/>
      <w:r>
        <w:rPr>
          <w:rFonts w:hint="eastAsia" w:ascii="仿宋" w:hAnsi="仿宋" w:eastAsia="仿宋" w:cs="仿宋"/>
          <w:b/>
          <w:sz w:val="24"/>
          <w:highlight w:val="none"/>
        </w:rPr>
        <w:t>2.4 包装和装运</w:t>
      </w:r>
      <w:bookmarkEnd w:id="94"/>
      <w:bookmarkEnd w:id="95"/>
      <w:bookmarkEnd w:id="9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97" w:name="_Ref467378541"/>
      <w:bookmarkStart w:id="98" w:name="_Toc279701245"/>
      <w:bookmarkStart w:id="99" w:name="_Ref467379527"/>
      <w:bookmarkStart w:id="100" w:name="_Ref467379536"/>
      <w:bookmarkStart w:id="101" w:name="_Ref467378591"/>
      <w:bookmarkStart w:id="102" w:name="_Toc487900354"/>
      <w:bookmarkStart w:id="103" w:name="_Ref467379542"/>
      <w:bookmarkStart w:id="104" w:name="_Toc259093674"/>
      <w:bookmarkStart w:id="105" w:name="_Toc19074"/>
      <w:bookmarkStart w:id="106" w:name="_Toc26182"/>
      <w:bookmarkStart w:id="107" w:name="_Toc30272"/>
      <w:r>
        <w:rPr>
          <w:rFonts w:hint="eastAsia" w:ascii="仿宋" w:hAnsi="仿宋" w:eastAsia="仿宋" w:cs="仿宋"/>
          <w:b/>
          <w:sz w:val="24"/>
          <w:highlight w:val="none"/>
        </w:rPr>
        <w:t>2.</w:t>
      </w:r>
      <w:bookmarkEnd w:id="97"/>
      <w:bookmarkEnd w:id="98"/>
      <w:bookmarkEnd w:id="99"/>
      <w:bookmarkEnd w:id="100"/>
      <w:bookmarkEnd w:id="101"/>
      <w:bookmarkEnd w:id="102"/>
      <w:bookmarkEnd w:id="103"/>
      <w:bookmarkEnd w:id="104"/>
      <w:r>
        <w:rPr>
          <w:rFonts w:hint="eastAsia" w:ascii="仿宋" w:hAnsi="仿宋" w:eastAsia="仿宋" w:cs="仿宋"/>
          <w:b/>
          <w:sz w:val="24"/>
          <w:highlight w:val="none"/>
        </w:rPr>
        <w:t>5 履约检查和问题反馈</w:t>
      </w:r>
      <w:bookmarkEnd w:id="105"/>
      <w:bookmarkEnd w:id="106"/>
      <w:bookmarkEnd w:id="107"/>
    </w:p>
    <w:p>
      <w:pPr>
        <w:spacing w:line="560" w:lineRule="exact"/>
        <w:ind w:firstLine="480" w:firstLineChars="200"/>
        <w:rPr>
          <w:rFonts w:hint="eastAsia" w:ascii="仿宋" w:hAnsi="仿宋" w:eastAsia="仿宋" w:cs="仿宋"/>
          <w:sz w:val="24"/>
          <w:highlight w:val="none"/>
        </w:rPr>
      </w:pPr>
      <w:bookmarkStart w:id="108" w:name="_Ref467379657"/>
      <w:r>
        <w:rPr>
          <w:rFonts w:hint="eastAsia" w:ascii="仿宋" w:hAnsi="仿宋" w:eastAsia="仿宋" w:cs="仿宋"/>
          <w:sz w:val="24"/>
          <w:highlight w:val="none"/>
        </w:rPr>
        <w:t>2.5.1</w:t>
      </w:r>
      <w:bookmarkEnd w:id="108"/>
      <w:bookmarkStart w:id="109" w:name="_Toc186431854"/>
      <w:bookmarkStart w:id="110" w:name="_Toc279701247"/>
      <w:bookmarkStart w:id="111" w:name="_Toc259093676"/>
      <w:bookmarkStart w:id="112" w:name="_Ref467379807"/>
      <w:bookmarkStart w:id="113" w:name="_Toc487900357"/>
      <w:bookmarkStart w:id="114" w:name="_Ref467379793"/>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09"/>
      <w:bookmarkStart w:id="115" w:name="_Toc186431855"/>
      <w:r>
        <w:rPr>
          <w:rFonts w:hint="eastAsia" w:ascii="仿宋" w:hAnsi="仿宋" w:eastAsia="仿宋" w:cs="仿宋"/>
          <w:sz w:val="24"/>
          <w:highlight w:val="none"/>
        </w:rPr>
        <w:t>。</w:t>
      </w:r>
    </w:p>
    <w:bookmarkEnd w:id="110"/>
    <w:bookmarkEnd w:id="111"/>
    <w:bookmarkEnd w:id="112"/>
    <w:bookmarkEnd w:id="113"/>
    <w:bookmarkEnd w:id="114"/>
    <w:bookmarkEnd w:id="115"/>
    <w:p>
      <w:pPr>
        <w:spacing w:line="560" w:lineRule="exact"/>
        <w:ind w:firstLine="482" w:firstLineChars="200"/>
        <w:outlineLvl w:val="0"/>
        <w:rPr>
          <w:rFonts w:hint="eastAsia" w:ascii="仿宋" w:hAnsi="仿宋" w:eastAsia="仿宋" w:cs="仿宋"/>
          <w:b/>
          <w:sz w:val="24"/>
          <w:highlight w:val="none"/>
        </w:rPr>
      </w:pPr>
      <w:bookmarkStart w:id="116" w:name="_Toc279701248"/>
      <w:bookmarkStart w:id="117" w:name="_Ref467379852"/>
      <w:bookmarkStart w:id="118" w:name="_Toc259093677"/>
      <w:bookmarkStart w:id="119" w:name="_Ref467379923"/>
      <w:bookmarkStart w:id="120" w:name="_Toc487900358"/>
      <w:bookmarkStart w:id="121" w:name="_Ref467379863"/>
      <w:bookmarkStart w:id="122" w:name="_Toc16110"/>
      <w:bookmarkStart w:id="123" w:name="_Toc3225"/>
      <w:bookmarkStart w:id="124" w:name="_Toc774"/>
      <w:r>
        <w:rPr>
          <w:rFonts w:hint="eastAsia" w:ascii="仿宋" w:hAnsi="仿宋" w:eastAsia="仿宋" w:cs="仿宋"/>
          <w:b/>
          <w:sz w:val="24"/>
          <w:highlight w:val="none"/>
        </w:rPr>
        <w:t>2.6 技术资料</w:t>
      </w:r>
      <w:bookmarkEnd w:id="116"/>
      <w:bookmarkEnd w:id="117"/>
      <w:bookmarkEnd w:id="118"/>
      <w:bookmarkEnd w:id="119"/>
      <w:bookmarkEnd w:id="120"/>
      <w:bookmarkEnd w:id="121"/>
      <w:r>
        <w:rPr>
          <w:rFonts w:hint="eastAsia" w:ascii="仿宋" w:hAnsi="仿宋" w:eastAsia="仿宋" w:cs="仿宋"/>
          <w:b/>
          <w:sz w:val="24"/>
          <w:highlight w:val="none"/>
        </w:rPr>
        <w:t>和保密义务</w:t>
      </w:r>
      <w:bookmarkEnd w:id="122"/>
      <w:bookmarkEnd w:id="123"/>
      <w:bookmarkEnd w:id="12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25" w:name="_Toc7860"/>
      <w:r>
        <w:rPr>
          <w:rFonts w:hint="eastAsia" w:ascii="仿宋" w:hAnsi="仿宋" w:eastAsia="仿宋" w:cs="仿宋"/>
          <w:b/>
          <w:sz w:val="24"/>
          <w:highlight w:val="none"/>
        </w:rPr>
        <w:t>2.7 质量保证</w:t>
      </w:r>
      <w:bookmarkEnd w:id="12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26" w:name="_Toc17244"/>
      <w:bookmarkStart w:id="127" w:name="_Toc487900362"/>
      <w:bookmarkStart w:id="128" w:name="_Toc259093681"/>
      <w:bookmarkStart w:id="129" w:name="_Toc279701252"/>
      <w:r>
        <w:rPr>
          <w:rFonts w:hint="eastAsia" w:ascii="仿宋" w:hAnsi="仿宋" w:eastAsia="仿宋" w:cs="仿宋"/>
          <w:b/>
          <w:sz w:val="24"/>
          <w:highlight w:val="none"/>
        </w:rPr>
        <w:t>2.8 货物的风险负担</w:t>
      </w:r>
      <w:bookmarkEnd w:id="126"/>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30" w:name="_Toc14055"/>
      <w:r>
        <w:rPr>
          <w:rFonts w:hint="eastAsia" w:ascii="仿宋" w:hAnsi="仿宋" w:eastAsia="仿宋" w:cs="仿宋"/>
          <w:b/>
          <w:sz w:val="24"/>
          <w:highlight w:val="none"/>
        </w:rPr>
        <w:t>2.9 延迟交货</w:t>
      </w:r>
      <w:bookmarkEnd w:id="127"/>
      <w:bookmarkEnd w:id="128"/>
      <w:bookmarkEnd w:id="129"/>
      <w:bookmarkEnd w:id="13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highlight w:val="none"/>
        </w:rPr>
      </w:pPr>
      <w:bookmarkStart w:id="131" w:name="_Toc7502"/>
      <w:bookmarkStart w:id="132" w:name="_Ref467378121"/>
      <w:bookmarkStart w:id="133" w:name="_Toc487900364"/>
      <w:bookmarkStart w:id="134" w:name="_Toc259093683"/>
      <w:bookmarkStart w:id="135" w:name="_Toc279701254"/>
      <w:r>
        <w:rPr>
          <w:rFonts w:hint="eastAsia" w:ascii="仿宋" w:hAnsi="仿宋" w:eastAsia="仿宋" w:cs="仿宋"/>
          <w:b/>
          <w:sz w:val="24"/>
          <w:highlight w:val="none"/>
        </w:rPr>
        <w:t>2.10 合同变更</w:t>
      </w:r>
      <w:bookmarkEnd w:id="13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36" w:name="_Toc279701259"/>
      <w:bookmarkStart w:id="137" w:name="_Toc487900369"/>
      <w:bookmarkStart w:id="138" w:name="_Toc259093688"/>
    </w:p>
    <w:p>
      <w:pPr>
        <w:spacing w:line="560" w:lineRule="exact"/>
        <w:ind w:firstLine="482" w:firstLineChars="200"/>
        <w:outlineLvl w:val="0"/>
        <w:rPr>
          <w:rFonts w:hint="eastAsia" w:ascii="仿宋" w:hAnsi="仿宋" w:eastAsia="仿宋" w:cs="仿宋"/>
          <w:b/>
          <w:sz w:val="24"/>
          <w:highlight w:val="none"/>
        </w:rPr>
      </w:pPr>
      <w:bookmarkStart w:id="139" w:name="_Toc15237"/>
      <w:bookmarkStart w:id="140" w:name="_Toc10366"/>
      <w:bookmarkStart w:id="141" w:name="_Toc22955"/>
      <w:r>
        <w:rPr>
          <w:rFonts w:hint="eastAsia" w:ascii="仿宋" w:hAnsi="仿宋" w:eastAsia="仿宋" w:cs="仿宋"/>
          <w:b/>
          <w:sz w:val="24"/>
          <w:highlight w:val="none"/>
        </w:rPr>
        <w:t>2.11 合同转让</w:t>
      </w:r>
      <w:bookmarkEnd w:id="136"/>
      <w:bookmarkEnd w:id="137"/>
      <w:bookmarkEnd w:id="138"/>
      <w:r>
        <w:rPr>
          <w:rFonts w:hint="eastAsia" w:ascii="仿宋" w:hAnsi="仿宋" w:eastAsia="仿宋" w:cs="仿宋"/>
          <w:b/>
          <w:sz w:val="24"/>
          <w:highlight w:val="none"/>
        </w:rPr>
        <w:t>和分包</w:t>
      </w:r>
      <w:bookmarkEnd w:id="139"/>
      <w:bookmarkEnd w:id="140"/>
      <w:bookmarkEnd w:id="141"/>
      <w:r>
        <w:rPr>
          <w:rFonts w:hint="eastAsia" w:ascii="仿宋" w:hAnsi="仿宋" w:eastAsia="仿宋" w:cs="仿宋"/>
          <w:b/>
          <w:sz w:val="24"/>
          <w:highlight w:val="none"/>
        </w:rPr>
        <w:t>（如有）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highlight w:val="none"/>
        </w:rPr>
      </w:pPr>
      <w:bookmarkStart w:id="142" w:name="_Toc14066"/>
      <w:bookmarkStart w:id="143" w:name="_Toc13566"/>
      <w:bookmarkStart w:id="144" w:name="_Toc16508"/>
      <w:r>
        <w:rPr>
          <w:rFonts w:hint="eastAsia" w:ascii="仿宋" w:hAnsi="仿宋" w:eastAsia="仿宋" w:cs="仿宋"/>
          <w:b/>
          <w:sz w:val="24"/>
          <w:highlight w:val="none"/>
        </w:rPr>
        <w:t>2.12 不可抗力</w:t>
      </w:r>
      <w:bookmarkEnd w:id="142"/>
      <w:bookmarkEnd w:id="143"/>
      <w:bookmarkEnd w:id="14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45" w:name="_Toc279701255"/>
      <w:bookmarkStart w:id="146" w:name="_Toc689"/>
      <w:bookmarkStart w:id="147" w:name="_Toc487900365"/>
      <w:bookmarkStart w:id="148" w:name="_Toc6969"/>
      <w:bookmarkStart w:id="149" w:name="_Toc30676"/>
      <w:bookmarkStart w:id="150" w:name="_Toc259093684"/>
      <w:r>
        <w:rPr>
          <w:rFonts w:hint="eastAsia" w:ascii="仿宋" w:hAnsi="仿宋" w:eastAsia="仿宋" w:cs="仿宋"/>
          <w:b/>
          <w:sz w:val="24"/>
          <w:highlight w:val="none"/>
        </w:rPr>
        <w:t>2.13 税费</w:t>
      </w:r>
      <w:bookmarkEnd w:id="145"/>
      <w:bookmarkEnd w:id="146"/>
      <w:bookmarkEnd w:id="147"/>
      <w:bookmarkEnd w:id="148"/>
      <w:bookmarkEnd w:id="149"/>
      <w:bookmarkEnd w:id="15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highlight w:val="none"/>
        </w:rPr>
      </w:pPr>
      <w:bookmarkStart w:id="151" w:name="_Toc7102"/>
      <w:bookmarkStart w:id="152" w:name="_Toc487900368"/>
      <w:bookmarkStart w:id="153" w:name="_Toc279701258"/>
      <w:bookmarkStart w:id="154" w:name="_Toc16959"/>
      <w:bookmarkStart w:id="155" w:name="_Toc8298"/>
      <w:bookmarkStart w:id="156" w:name="_Toc259093687"/>
      <w:r>
        <w:rPr>
          <w:rFonts w:hint="eastAsia" w:ascii="仿宋" w:hAnsi="仿宋" w:eastAsia="仿宋" w:cs="仿宋"/>
          <w:b/>
          <w:sz w:val="24"/>
          <w:highlight w:val="none"/>
        </w:rPr>
        <w:t>2.14乙方破产</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57" w:name="_Toc15387"/>
      <w:bookmarkStart w:id="158" w:name="_Toc29333"/>
      <w:bookmarkStart w:id="159" w:name="_Toc6134"/>
      <w:r>
        <w:rPr>
          <w:rFonts w:hint="eastAsia" w:ascii="仿宋" w:hAnsi="仿宋" w:eastAsia="仿宋" w:cs="仿宋"/>
          <w:b/>
          <w:sz w:val="24"/>
          <w:highlight w:val="none"/>
        </w:rPr>
        <w:t>2.15 合同中止、终止</w:t>
      </w:r>
      <w:bookmarkEnd w:id="157"/>
      <w:bookmarkEnd w:id="158"/>
      <w:bookmarkEnd w:id="15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60" w:name="_Toc6596"/>
      <w:bookmarkStart w:id="161" w:name="_Toc1125"/>
      <w:bookmarkStart w:id="162" w:name="_Toc14563"/>
      <w:r>
        <w:rPr>
          <w:rFonts w:hint="eastAsia" w:ascii="仿宋" w:hAnsi="仿宋" w:eastAsia="仿宋" w:cs="仿宋"/>
          <w:b/>
          <w:sz w:val="24"/>
          <w:highlight w:val="none"/>
        </w:rPr>
        <w:t>2.16检验和验收</w:t>
      </w:r>
      <w:bookmarkEnd w:id="160"/>
      <w:bookmarkEnd w:id="161"/>
      <w:bookmarkEnd w:id="162"/>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32"/>
    <w:bookmarkEnd w:id="133"/>
    <w:bookmarkEnd w:id="134"/>
    <w:bookmarkEnd w:id="135"/>
    <w:p>
      <w:pPr>
        <w:spacing w:line="560" w:lineRule="exact"/>
        <w:ind w:firstLine="482" w:firstLineChars="200"/>
        <w:outlineLvl w:val="0"/>
        <w:rPr>
          <w:rFonts w:hint="eastAsia" w:ascii="仿宋" w:hAnsi="仿宋" w:eastAsia="仿宋" w:cs="仿宋"/>
          <w:b/>
          <w:sz w:val="24"/>
          <w:highlight w:val="none"/>
        </w:rPr>
      </w:pPr>
      <w:bookmarkStart w:id="163" w:name="_Toc279701261"/>
      <w:bookmarkStart w:id="164" w:name="_Toc259093690"/>
      <w:bookmarkStart w:id="165" w:name="_Toc487900371"/>
      <w:bookmarkStart w:id="166" w:name="_Toc25182"/>
      <w:bookmarkStart w:id="167" w:name="_Toc19604"/>
      <w:bookmarkStart w:id="168" w:name="_Toc11284"/>
      <w:r>
        <w:rPr>
          <w:rFonts w:hint="eastAsia" w:ascii="仿宋" w:hAnsi="仿宋" w:eastAsia="仿宋" w:cs="仿宋"/>
          <w:b/>
          <w:sz w:val="24"/>
          <w:highlight w:val="none"/>
        </w:rPr>
        <w:t>2.17 通知</w:t>
      </w:r>
      <w:bookmarkEnd w:id="163"/>
      <w:bookmarkEnd w:id="164"/>
      <w:bookmarkEnd w:id="165"/>
      <w:r>
        <w:rPr>
          <w:rFonts w:hint="eastAsia" w:ascii="仿宋" w:hAnsi="仿宋" w:eastAsia="仿宋" w:cs="仿宋"/>
          <w:b/>
          <w:sz w:val="24"/>
          <w:highlight w:val="none"/>
        </w:rPr>
        <w:t>和送达</w:t>
      </w:r>
      <w:bookmarkEnd w:id="166"/>
      <w:bookmarkEnd w:id="167"/>
      <w:bookmarkEnd w:id="168"/>
    </w:p>
    <w:p>
      <w:pPr>
        <w:spacing w:line="560" w:lineRule="exact"/>
        <w:ind w:firstLine="480" w:firstLineChars="200"/>
        <w:rPr>
          <w:rFonts w:hint="eastAsia" w:ascii="仿宋" w:hAnsi="仿宋" w:eastAsia="仿宋" w:cs="仿宋"/>
          <w:sz w:val="24"/>
          <w:highlight w:val="none"/>
        </w:rPr>
      </w:pPr>
      <w:bookmarkStart w:id="169" w:name="_Toc6698"/>
      <w:bookmarkStart w:id="170" w:name="_Toc3135"/>
      <w:bookmarkStart w:id="171" w:name="_Toc487900372"/>
      <w:bookmarkStart w:id="172" w:name="_Toc279701262"/>
      <w:bookmarkStart w:id="173" w:name="_Toc25909369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69"/>
      <w:bookmarkEnd w:id="170"/>
    </w:p>
    <w:p>
      <w:pPr>
        <w:spacing w:line="560" w:lineRule="exact"/>
        <w:ind w:firstLine="480" w:firstLineChars="200"/>
        <w:rPr>
          <w:rFonts w:hint="eastAsia" w:ascii="仿宋" w:hAnsi="仿宋" w:eastAsia="仿宋" w:cs="仿宋"/>
          <w:sz w:val="24"/>
          <w:highlight w:val="none"/>
        </w:rPr>
      </w:pPr>
      <w:bookmarkStart w:id="174" w:name="_Toc23294"/>
      <w:bookmarkStart w:id="175"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4"/>
      <w:bookmarkEnd w:id="175"/>
    </w:p>
    <w:p>
      <w:pPr>
        <w:spacing w:line="560" w:lineRule="exact"/>
        <w:ind w:firstLine="482" w:firstLineChars="200"/>
        <w:outlineLvl w:val="0"/>
        <w:rPr>
          <w:rFonts w:hint="eastAsia" w:ascii="仿宋" w:hAnsi="仿宋" w:eastAsia="仿宋" w:cs="仿宋"/>
          <w:b/>
          <w:sz w:val="24"/>
          <w:highlight w:val="none"/>
        </w:rPr>
      </w:pPr>
      <w:bookmarkStart w:id="176" w:name="_Toc18540"/>
      <w:bookmarkStart w:id="177" w:name="_Toc4355"/>
      <w:bookmarkStart w:id="178" w:name="_Toc30599"/>
      <w:r>
        <w:rPr>
          <w:rFonts w:hint="eastAsia" w:ascii="仿宋" w:hAnsi="仿宋" w:eastAsia="仿宋" w:cs="仿宋"/>
          <w:b/>
          <w:sz w:val="24"/>
          <w:highlight w:val="none"/>
        </w:rPr>
        <w:t>2.18 计量单位</w:t>
      </w:r>
      <w:bookmarkEnd w:id="171"/>
      <w:bookmarkEnd w:id="172"/>
      <w:bookmarkEnd w:id="173"/>
      <w:bookmarkEnd w:id="176"/>
      <w:bookmarkEnd w:id="177"/>
      <w:bookmarkEnd w:id="17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79" w:name="_Toc10330"/>
      <w:bookmarkStart w:id="180" w:name="_Toc12773"/>
      <w:bookmarkStart w:id="181" w:name="_Toc259093692"/>
      <w:bookmarkStart w:id="182" w:name="_Toc279701263"/>
      <w:bookmarkStart w:id="183" w:name="_Toc487900373"/>
      <w:bookmarkStart w:id="184" w:name="_Toc18567"/>
      <w:r>
        <w:rPr>
          <w:rFonts w:hint="eastAsia" w:ascii="仿宋" w:hAnsi="仿宋" w:eastAsia="仿宋" w:cs="仿宋"/>
          <w:b/>
          <w:sz w:val="24"/>
          <w:highlight w:val="none"/>
        </w:rPr>
        <w:t>2.19 合同使用的文字和适用的法律</w:t>
      </w:r>
      <w:bookmarkEnd w:id="179"/>
      <w:bookmarkEnd w:id="180"/>
      <w:bookmarkEnd w:id="181"/>
      <w:bookmarkEnd w:id="182"/>
      <w:bookmarkEnd w:id="183"/>
      <w:bookmarkEnd w:id="18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85" w:name="_Toc259093693"/>
      <w:bookmarkStart w:id="186" w:name="_Toc12004"/>
      <w:bookmarkStart w:id="187" w:name="_Toc279701264"/>
      <w:bookmarkStart w:id="188" w:name="_Toc3148"/>
      <w:bookmarkStart w:id="189" w:name="_Toc16673"/>
      <w:bookmarkStart w:id="190" w:name="_Toc487900374"/>
      <w:r>
        <w:rPr>
          <w:rFonts w:hint="eastAsia" w:ascii="仿宋" w:hAnsi="仿宋" w:eastAsia="仿宋" w:cs="仿宋"/>
          <w:b/>
          <w:sz w:val="24"/>
          <w:highlight w:val="none"/>
        </w:rPr>
        <w:t>2.20 履约保证金</w:t>
      </w:r>
      <w:bookmarkEnd w:id="185"/>
      <w:bookmarkEnd w:id="186"/>
      <w:bookmarkEnd w:id="187"/>
      <w:bookmarkEnd w:id="188"/>
      <w:bookmarkEnd w:id="189"/>
    </w:p>
    <w:p>
      <w:pPr>
        <w:pStyle w:val="284"/>
        <w:spacing w:before="0" w:beforeAutospacing="0" w:after="0" w:afterAutospacing="0" w:line="360" w:lineRule="auto"/>
        <w:ind w:firstLine="420"/>
        <w:rPr>
          <w:rFonts w:hint="eastAsia" w:ascii="仿宋" w:hAnsi="仿宋" w:eastAsia="仿宋" w:cs="仿宋"/>
          <w:highlight w:val="none"/>
        </w:rPr>
      </w:pPr>
      <w:r>
        <w:rPr>
          <w:rFonts w:hint="eastAsia" w:ascii="仿宋" w:hAnsi="仿宋" w:eastAsia="仿宋" w:cs="仿宋"/>
          <w:highlight w:val="none"/>
        </w:rPr>
        <w:t>2.20.1 采购文件要求乙方提交履约保证金的，乙方应按</w:t>
      </w:r>
      <w:r>
        <w:rPr>
          <w:rFonts w:hint="eastAsia" w:ascii="仿宋" w:hAnsi="仿宋" w:eastAsia="仿宋" w:cs="仿宋"/>
          <w:b/>
          <w:i/>
          <w:highlight w:val="none"/>
          <w:u w:val="single"/>
        </w:rPr>
        <w:t>合同专用条款</w:t>
      </w:r>
      <w:r>
        <w:rPr>
          <w:rFonts w:hint="eastAsia" w:ascii="仿宋" w:hAnsi="仿宋" w:eastAsia="仿宋" w:cs="仿宋"/>
          <w:highlight w:val="none"/>
        </w:rPr>
        <w:t>约定的方式，以支票、汇票、本票或者金融机构、担保机构出具的保函等非现金形式，提交不超过合同金额2.5%的履约保证金；鼓励和支持乙方以银行、保险公司出具的保函形式提供履约保证。</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2.20.2  履约保证金在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约定期间内不予退还。乙方在前述约定期间届满前能履行完合同约定义务事项的，甲方在前述约定期间届满之日起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%计算，最高限额为本合同履约保证金的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2.21对于因甲方原因导致变更、中止或者终止政府采购合同的，甲方应当依照合同约定对供应商受到的损失予以赔偿或者补偿。</w:t>
      </w:r>
    </w:p>
    <w:bookmarkEnd w:id="190"/>
    <w:p>
      <w:pPr>
        <w:spacing w:line="560" w:lineRule="exact"/>
        <w:ind w:firstLine="482" w:firstLineChars="200"/>
        <w:outlineLvl w:val="0"/>
        <w:rPr>
          <w:rFonts w:hint="eastAsia" w:ascii="仿宋" w:hAnsi="仿宋" w:eastAsia="仿宋" w:cs="仿宋"/>
          <w:b/>
          <w:sz w:val="24"/>
          <w:highlight w:val="none"/>
        </w:rPr>
      </w:pPr>
      <w:bookmarkStart w:id="191" w:name="_Toc14001"/>
      <w:bookmarkStart w:id="192" w:name="_Toc6885"/>
      <w:bookmarkStart w:id="193" w:name="_Toc19890"/>
      <w:r>
        <w:rPr>
          <w:rFonts w:hint="eastAsia" w:ascii="仿宋" w:hAnsi="仿宋" w:eastAsia="仿宋" w:cs="仿宋"/>
          <w:b/>
          <w:sz w:val="24"/>
          <w:highlight w:val="none"/>
        </w:rPr>
        <w:t>2.22合同份数</w:t>
      </w:r>
      <w:bookmarkEnd w:id="191"/>
      <w:bookmarkEnd w:id="192"/>
      <w:bookmarkEnd w:id="19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pStyle w:val="283"/>
        <w:spacing w:line="560" w:lineRule="exact"/>
        <w:jc w:val="center"/>
        <w:rPr>
          <w:rFonts w:hint="eastAsia" w:ascii="仿宋" w:hAnsi="仿宋" w:eastAsia="仿宋" w:cs="仿宋"/>
          <w:b/>
          <w:szCs w:val="24"/>
          <w:highlight w:val="none"/>
        </w:rPr>
      </w:pPr>
      <w:r>
        <w:rPr>
          <w:rFonts w:hint="eastAsia" w:ascii="仿宋" w:hAnsi="仿宋" w:eastAsia="仿宋" w:cs="仿宋"/>
          <w:kern w:val="0"/>
          <w:szCs w:val="24"/>
          <w:highlight w:val="none"/>
        </w:rPr>
        <w:br w:type="page"/>
      </w:r>
      <w:bookmarkStart w:id="194" w:name="_Toc331685784"/>
      <w:r>
        <w:rPr>
          <w:rFonts w:hint="eastAsia" w:ascii="仿宋" w:hAnsi="仿宋" w:eastAsia="仿宋" w:cs="仿宋"/>
          <w:b/>
          <w:szCs w:val="24"/>
          <w:highlight w:val="none"/>
        </w:rPr>
        <w:t xml:space="preserve"> </w:t>
      </w:r>
      <w:bookmarkEnd w:id="194"/>
      <w:r>
        <w:rPr>
          <w:rFonts w:hint="eastAsia" w:ascii="仿宋" w:hAnsi="仿宋" w:eastAsia="仿宋" w:cs="仿宋"/>
          <w:b/>
          <w:szCs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275"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1.4.4</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1.6.7</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2.4.2</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8275"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2.20.1</w:t>
            </w:r>
          </w:p>
        </w:tc>
        <w:tc>
          <w:tcPr>
            <w:tcW w:w="8275"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2.20.2 </w:t>
            </w:r>
          </w:p>
        </w:tc>
        <w:tc>
          <w:tcPr>
            <w:tcW w:w="8275"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 xml:space="preserve">2.22 </w:t>
            </w:r>
          </w:p>
        </w:tc>
        <w:tc>
          <w:tcPr>
            <w:tcW w:w="8275" w:type="dxa"/>
            <w:vAlign w:val="center"/>
          </w:tcPr>
          <w:p>
            <w:pPr>
              <w:spacing w:line="360" w:lineRule="auto"/>
              <w:rPr>
                <w:rFonts w:hint="eastAsia" w:ascii="仿宋" w:hAnsi="仿宋" w:eastAsia="仿宋" w:cs="仿宋"/>
                <w:sz w:val="24"/>
                <w:highlight w:val="none"/>
              </w:rPr>
            </w:pPr>
          </w:p>
        </w:tc>
      </w:tr>
    </w:tbl>
    <w:p>
      <w:pPr>
        <w:spacing w:line="360" w:lineRule="auto"/>
        <w:ind w:left="-420" w:leftChars="-200" w:right="-420" w:rightChars="-200" w:firstLine="480" w:firstLineChars="200"/>
        <w:rPr>
          <w:rFonts w:hint="eastAsia" w:ascii="仿宋" w:hAnsi="仿宋" w:eastAsia="仿宋" w:cs="仿宋"/>
          <w:sz w:val="24"/>
          <w:highlight w:val="none"/>
        </w:rPr>
      </w:pPr>
    </w:p>
    <w:p>
      <w:pPr>
        <w:spacing w:line="3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（注：在正式签约时，根据上述精神应拟就更为详尽的合同书）</w:t>
      </w:r>
    </w:p>
    <w:p>
      <w:pPr>
        <w:pStyle w:val="24"/>
        <w:spacing w:line="800" w:lineRule="exact"/>
        <w:ind w:firstLine="723"/>
        <w:jc w:val="center"/>
        <w:rPr>
          <w:rFonts w:hint="eastAsia" w:ascii="仿宋" w:hAnsi="仿宋" w:eastAsia="仿宋" w:cs="仿宋"/>
          <w:b/>
          <w:sz w:val="36"/>
          <w:szCs w:val="36"/>
          <w:highlight w:val="none"/>
        </w:rPr>
      </w:pPr>
    </w:p>
    <w:p>
      <w:pPr>
        <w:pStyle w:val="24"/>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2.1.商务技术分（70分）</w:t>
      </w:r>
    </w:p>
    <w:tbl>
      <w:tblPr>
        <w:tblStyle w:val="44"/>
        <w:tblW w:w="5000" w:type="pct"/>
        <w:tblInd w:w="0" w:type="dxa"/>
        <w:tblLayout w:type="autofit"/>
        <w:tblCellMar>
          <w:top w:w="0" w:type="dxa"/>
          <w:left w:w="108" w:type="dxa"/>
          <w:bottom w:w="0" w:type="dxa"/>
          <w:right w:w="108" w:type="dxa"/>
        </w:tblCellMar>
      </w:tblPr>
      <w:tblGrid>
        <w:gridCol w:w="822"/>
        <w:gridCol w:w="1410"/>
        <w:gridCol w:w="6346"/>
        <w:gridCol w:w="708"/>
      </w:tblGrid>
      <w:tr>
        <w:tblPrEx>
          <w:tblCellMar>
            <w:top w:w="0" w:type="dxa"/>
            <w:left w:w="108" w:type="dxa"/>
            <w:bottom w:w="0" w:type="dxa"/>
            <w:right w:w="108" w:type="dxa"/>
          </w:tblCellMar>
        </w:tblPrEx>
        <w:trPr>
          <w:trHeight w:val="513" w:hRule="atLeast"/>
        </w:trPr>
        <w:tc>
          <w:tcPr>
            <w:tcW w:w="443"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序号</w:t>
            </w:r>
          </w:p>
        </w:tc>
        <w:tc>
          <w:tcPr>
            <w:tcW w:w="759"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项目</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评分细则</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分值</w:t>
            </w:r>
          </w:p>
        </w:tc>
      </w:tr>
      <w:tr>
        <w:tblPrEx>
          <w:tblCellMar>
            <w:top w:w="0" w:type="dxa"/>
            <w:left w:w="108" w:type="dxa"/>
            <w:bottom w:w="0" w:type="dxa"/>
            <w:right w:w="108" w:type="dxa"/>
          </w:tblCellMar>
        </w:tblPrEx>
        <w:tc>
          <w:tcPr>
            <w:tcW w:w="443" w:type="pct"/>
            <w:vMerge w:val="restart"/>
            <w:tcBorders>
              <w:top w:val="single" w:color="000000" w:sz="4" w:space="0"/>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w:t>
            </w:r>
          </w:p>
        </w:tc>
        <w:tc>
          <w:tcPr>
            <w:tcW w:w="759" w:type="pct"/>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商务及资信</w:t>
            </w:r>
          </w:p>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（15分）</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投标人具有ISO9001、ISO45001、ISO14001、ISO20000、ISO27001体系认证证书，全部满足得5分，缺一项扣1分，扣完为止。</w:t>
            </w:r>
            <w:r>
              <w:rPr>
                <w:rFonts w:hint="eastAsia" w:ascii="仿宋" w:hAnsi="仿宋" w:eastAsia="仿宋" w:cs="仿宋"/>
                <w:color w:val="000000"/>
                <w:szCs w:val="21"/>
                <w:highlight w:val="none"/>
                <w:lang w:eastAsia="zh-CN"/>
              </w:rPr>
              <w:t>需</w:t>
            </w:r>
            <w:r>
              <w:rPr>
                <w:rFonts w:hint="eastAsia" w:ascii="仿宋" w:hAnsi="仿宋" w:eastAsia="仿宋" w:cs="仿宋"/>
                <w:color w:val="000000"/>
                <w:szCs w:val="21"/>
                <w:highlight w:val="none"/>
              </w:rPr>
              <w:t>提供证书复印件并加盖投标人公章</w:t>
            </w:r>
            <w:r>
              <w:rPr>
                <w:rFonts w:hint="eastAsia" w:ascii="仿宋" w:hAnsi="仿宋" w:eastAsia="仿宋" w:cs="仿宋"/>
                <w:color w:val="000000"/>
                <w:szCs w:val="21"/>
                <w:highlight w:val="none"/>
                <w:lang w:eastAsia="zh-CN"/>
              </w:rPr>
              <w:t>，未提供不得分。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w:t>
            </w:r>
          </w:p>
        </w:tc>
      </w:tr>
      <w:tr>
        <w:tblPrEx>
          <w:tblCellMar>
            <w:top w:w="0" w:type="dxa"/>
            <w:left w:w="108" w:type="dxa"/>
            <w:bottom w:w="0" w:type="dxa"/>
            <w:right w:w="108" w:type="dxa"/>
          </w:tblCellMar>
        </w:tblPrEx>
        <w:trPr>
          <w:trHeight w:val="558" w:hRule="atLeast"/>
        </w:trPr>
        <w:tc>
          <w:tcPr>
            <w:tcW w:w="443" w:type="pct"/>
            <w:vMerge w:val="continue"/>
            <w:tcBorders>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right w:val="single" w:color="000000" w:sz="4" w:space="0"/>
            </w:tcBorders>
            <w:noWrap w:val="0"/>
            <w:vAlign w:val="center"/>
          </w:tcPr>
          <w:p>
            <w:pPr>
              <w:ind w:firstLine="420" w:firstLineChars="200"/>
              <w:jc w:val="left"/>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投标人</w:t>
            </w:r>
            <w:r>
              <w:rPr>
                <w:rFonts w:hint="eastAsia" w:ascii="仿宋" w:hAnsi="仿宋" w:eastAsia="仿宋" w:cs="仿宋"/>
                <w:color w:val="000000"/>
                <w:szCs w:val="21"/>
                <w:highlight w:val="none"/>
                <w:lang w:eastAsia="zh-CN"/>
              </w:rPr>
              <w:t>具</w:t>
            </w:r>
            <w:r>
              <w:rPr>
                <w:rFonts w:hint="eastAsia" w:ascii="仿宋" w:hAnsi="仿宋" w:eastAsia="仿宋" w:cs="仿宋"/>
                <w:color w:val="000000"/>
                <w:szCs w:val="21"/>
                <w:highlight w:val="none"/>
              </w:rPr>
              <w:t>有信息化能力和信用评价证书，</w:t>
            </w:r>
            <w:r>
              <w:rPr>
                <w:rFonts w:hint="eastAsia" w:ascii="仿宋" w:hAnsi="仿宋" w:eastAsia="仿宋" w:cs="仿宋"/>
                <w:color w:val="000000"/>
                <w:szCs w:val="21"/>
                <w:highlight w:val="none"/>
                <w:lang w:eastAsia="zh-CN"/>
              </w:rPr>
              <w:t>具</w:t>
            </w:r>
            <w:r>
              <w:rPr>
                <w:rFonts w:hint="eastAsia" w:ascii="仿宋" w:hAnsi="仿宋" w:eastAsia="仿宋" w:cs="仿宋"/>
                <w:color w:val="000000"/>
                <w:szCs w:val="21"/>
                <w:highlight w:val="none"/>
              </w:rPr>
              <w:t>有一级证书得5分，</w:t>
            </w:r>
            <w:r>
              <w:rPr>
                <w:rFonts w:hint="eastAsia" w:ascii="仿宋" w:hAnsi="仿宋" w:eastAsia="仿宋" w:cs="仿宋"/>
                <w:color w:val="000000"/>
                <w:szCs w:val="21"/>
                <w:highlight w:val="none"/>
                <w:lang w:eastAsia="zh-CN"/>
              </w:rPr>
              <w:t>具</w:t>
            </w:r>
            <w:r>
              <w:rPr>
                <w:rFonts w:hint="eastAsia" w:ascii="仿宋" w:hAnsi="仿宋" w:eastAsia="仿宋" w:cs="仿宋"/>
                <w:color w:val="000000"/>
                <w:szCs w:val="21"/>
                <w:highlight w:val="none"/>
              </w:rPr>
              <w:t>有二级证书得3分，否则不得分</w:t>
            </w:r>
            <w:r>
              <w:rPr>
                <w:rFonts w:hint="eastAsia" w:ascii="仿宋" w:hAnsi="仿宋" w:eastAsia="仿宋" w:cs="仿宋"/>
                <w:color w:val="000000"/>
                <w:szCs w:val="21"/>
                <w:highlight w:val="none"/>
                <w:lang w:eastAsia="zh-CN"/>
              </w:rPr>
              <w:t>，需</w:t>
            </w:r>
            <w:r>
              <w:rPr>
                <w:rFonts w:hint="eastAsia" w:ascii="仿宋" w:hAnsi="仿宋" w:eastAsia="仿宋" w:cs="仿宋"/>
                <w:color w:val="000000"/>
                <w:szCs w:val="21"/>
                <w:highlight w:val="none"/>
              </w:rPr>
              <w:t>提供证书复印件并加盖投标人公章</w:t>
            </w:r>
            <w:r>
              <w:rPr>
                <w:rFonts w:hint="eastAsia" w:ascii="仿宋" w:hAnsi="仿宋" w:eastAsia="仿宋" w:cs="仿宋"/>
                <w:color w:val="000000"/>
                <w:szCs w:val="21"/>
                <w:highlight w:val="none"/>
                <w:lang w:eastAsia="zh-CN"/>
              </w:rPr>
              <w:t>，未提供不得分。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w:t>
            </w:r>
          </w:p>
        </w:tc>
      </w:tr>
      <w:tr>
        <w:tblPrEx>
          <w:tblCellMar>
            <w:top w:w="0" w:type="dxa"/>
            <w:left w:w="108" w:type="dxa"/>
            <w:bottom w:w="0" w:type="dxa"/>
            <w:right w:w="108" w:type="dxa"/>
          </w:tblCellMar>
        </w:tblPrEx>
        <w:trPr>
          <w:trHeight w:val="774" w:hRule="atLeast"/>
        </w:trPr>
        <w:tc>
          <w:tcPr>
            <w:tcW w:w="443" w:type="pct"/>
            <w:vMerge w:val="continue"/>
            <w:tcBorders>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right w:val="single" w:color="000000" w:sz="4" w:space="0"/>
            </w:tcBorders>
            <w:noWrap w:val="0"/>
            <w:vAlign w:val="center"/>
          </w:tcPr>
          <w:p>
            <w:pPr>
              <w:ind w:firstLine="420" w:firstLineChars="200"/>
              <w:jc w:val="left"/>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投标人自2018年1月1日以来取得市场监督管理局颁发的省级（或工商管理部门颁发的）AAA级“守合同重信用”企业证书，得2分，AA级得1分，</w:t>
            </w:r>
            <w:r>
              <w:rPr>
                <w:rFonts w:hint="eastAsia" w:ascii="仿宋" w:hAnsi="仿宋" w:eastAsia="仿宋" w:cs="仿宋"/>
                <w:color w:val="000000"/>
                <w:szCs w:val="21"/>
                <w:highlight w:val="none"/>
                <w:lang w:eastAsia="zh-CN"/>
              </w:rPr>
              <w:t>需</w:t>
            </w:r>
            <w:r>
              <w:rPr>
                <w:rFonts w:hint="eastAsia" w:ascii="仿宋" w:hAnsi="仿宋" w:eastAsia="仿宋" w:cs="仿宋"/>
                <w:color w:val="000000"/>
                <w:szCs w:val="21"/>
                <w:highlight w:val="none"/>
              </w:rPr>
              <w:t>提供证书复印件并加盖投标人公章</w:t>
            </w:r>
            <w:r>
              <w:rPr>
                <w:rFonts w:hint="eastAsia" w:ascii="仿宋" w:hAnsi="仿宋" w:eastAsia="仿宋" w:cs="仿宋"/>
                <w:color w:val="000000"/>
                <w:szCs w:val="21"/>
                <w:highlight w:val="none"/>
                <w:lang w:eastAsia="zh-CN"/>
              </w:rPr>
              <w:t>，未提供不得分。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CellMar>
            <w:top w:w="0" w:type="dxa"/>
            <w:left w:w="108" w:type="dxa"/>
            <w:bottom w:w="0" w:type="dxa"/>
            <w:right w:w="108" w:type="dxa"/>
          </w:tblCellMar>
        </w:tblPrEx>
        <w:trPr>
          <w:trHeight w:val="416" w:hRule="atLeast"/>
        </w:trPr>
        <w:tc>
          <w:tcPr>
            <w:tcW w:w="443" w:type="pct"/>
            <w:vMerge w:val="continue"/>
            <w:tcBorders>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bottom w:val="single" w:color="000000" w:sz="4" w:space="0"/>
              <w:right w:val="single" w:color="000000" w:sz="4" w:space="0"/>
            </w:tcBorders>
            <w:noWrap w:val="0"/>
            <w:vAlign w:val="center"/>
          </w:tcPr>
          <w:p>
            <w:pPr>
              <w:ind w:firstLine="420" w:firstLineChars="200"/>
              <w:jc w:val="left"/>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投标人</w:t>
            </w:r>
            <w:r>
              <w:rPr>
                <w:rFonts w:hint="eastAsia" w:ascii="仿宋" w:hAnsi="仿宋" w:eastAsia="仿宋" w:cs="仿宋"/>
                <w:color w:val="000000"/>
                <w:szCs w:val="21"/>
                <w:highlight w:val="none"/>
                <w:lang w:eastAsia="zh-CN"/>
              </w:rPr>
              <w:t>需提供</w:t>
            </w:r>
            <w:r>
              <w:rPr>
                <w:rFonts w:hint="eastAsia" w:ascii="仿宋" w:hAnsi="仿宋" w:eastAsia="仿宋" w:cs="仿宋"/>
                <w:color w:val="000000"/>
                <w:szCs w:val="21"/>
                <w:highlight w:val="none"/>
              </w:rPr>
              <w:t>类似“政策要求的改造类”建设的成功经验，</w:t>
            </w:r>
            <w:r>
              <w:rPr>
                <w:rFonts w:hint="eastAsia" w:ascii="仿宋" w:hAnsi="仿宋" w:eastAsia="仿宋" w:cs="仿宋"/>
                <w:color w:val="000000"/>
                <w:szCs w:val="21"/>
                <w:highlight w:val="none"/>
                <w:lang w:eastAsia="zh-CN"/>
              </w:rPr>
              <w:t>至</w:t>
            </w:r>
            <w:r>
              <w:rPr>
                <w:rFonts w:hint="eastAsia" w:ascii="仿宋" w:hAnsi="仿宋" w:eastAsia="仿宋" w:cs="仿宋"/>
                <w:color w:val="000000"/>
                <w:szCs w:val="21"/>
                <w:highlight w:val="none"/>
              </w:rPr>
              <w:t>2019年5月1日以来（以签定合同时间为准）类似项目案例，满足要求并提供5家</w:t>
            </w:r>
            <w:r>
              <w:rPr>
                <w:rFonts w:hint="eastAsia" w:ascii="仿宋" w:hAnsi="仿宋" w:eastAsia="仿宋" w:cs="仿宋"/>
                <w:color w:val="000000"/>
                <w:szCs w:val="21"/>
                <w:highlight w:val="none"/>
                <w:lang w:eastAsia="zh-CN"/>
              </w:rPr>
              <w:t>及以上</w:t>
            </w:r>
            <w:r>
              <w:rPr>
                <w:rFonts w:hint="eastAsia" w:ascii="仿宋" w:hAnsi="仿宋" w:eastAsia="仿宋" w:cs="仿宋"/>
                <w:color w:val="000000"/>
                <w:szCs w:val="21"/>
                <w:highlight w:val="none"/>
              </w:rPr>
              <w:t>成功实施案例得3分，3-4家成功实施案例得2分，1-2家成功实施案例得1分，</w:t>
            </w:r>
            <w:r>
              <w:rPr>
                <w:rFonts w:hint="eastAsia" w:ascii="仿宋" w:hAnsi="仿宋" w:eastAsia="仿宋" w:cs="仿宋"/>
                <w:color w:val="000000"/>
                <w:szCs w:val="21"/>
                <w:highlight w:val="none"/>
                <w:lang w:eastAsia="zh-CN"/>
              </w:rPr>
              <w:t>需</w:t>
            </w:r>
            <w:r>
              <w:rPr>
                <w:rFonts w:hint="eastAsia" w:ascii="仿宋" w:hAnsi="仿宋" w:eastAsia="仿宋" w:cs="仿宋"/>
                <w:color w:val="000000"/>
                <w:szCs w:val="21"/>
                <w:highlight w:val="none"/>
              </w:rPr>
              <w:t>提供</w:t>
            </w:r>
            <w:r>
              <w:rPr>
                <w:rFonts w:hint="eastAsia" w:ascii="仿宋" w:hAnsi="仿宋" w:eastAsia="仿宋" w:cs="仿宋"/>
                <w:color w:val="000000"/>
                <w:szCs w:val="21"/>
                <w:highlight w:val="none"/>
                <w:lang w:eastAsia="zh-CN"/>
              </w:rPr>
              <w:t>合同</w:t>
            </w:r>
            <w:r>
              <w:rPr>
                <w:rFonts w:hint="eastAsia" w:ascii="仿宋" w:hAnsi="仿宋" w:eastAsia="仿宋" w:cs="仿宋"/>
                <w:color w:val="000000"/>
                <w:szCs w:val="21"/>
                <w:highlight w:val="none"/>
              </w:rPr>
              <w:t>复印件并加盖投标人公章</w:t>
            </w:r>
            <w:r>
              <w:rPr>
                <w:rFonts w:hint="eastAsia" w:ascii="仿宋" w:hAnsi="仿宋" w:eastAsia="仿宋" w:cs="仿宋"/>
                <w:color w:val="000000"/>
                <w:szCs w:val="21"/>
                <w:highlight w:val="none"/>
                <w:lang w:eastAsia="zh-CN"/>
              </w:rPr>
              <w:t>，未提供不得分</w:t>
            </w:r>
            <w:r>
              <w:rPr>
                <w:rFonts w:hint="eastAsia" w:ascii="仿宋" w:hAnsi="仿宋" w:eastAsia="仿宋" w:cs="仿宋"/>
                <w:color w:val="000000"/>
                <w:szCs w:val="21"/>
                <w:highlight w:val="none"/>
              </w:rPr>
              <w:t xml:space="preserve">。 </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r>
      <w:tr>
        <w:tblPrEx>
          <w:tblCellMar>
            <w:top w:w="0" w:type="dxa"/>
            <w:left w:w="108" w:type="dxa"/>
            <w:bottom w:w="0" w:type="dxa"/>
            <w:right w:w="108" w:type="dxa"/>
          </w:tblCellMar>
        </w:tblPrEx>
        <w:trPr>
          <w:trHeight w:val="557" w:hRule="atLeast"/>
        </w:trPr>
        <w:tc>
          <w:tcPr>
            <w:tcW w:w="443" w:type="pct"/>
            <w:vMerge w:val="restart"/>
            <w:tcBorders>
              <w:top w:val="single" w:color="000000" w:sz="4" w:space="0"/>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2</w:t>
            </w:r>
          </w:p>
        </w:tc>
        <w:tc>
          <w:tcPr>
            <w:tcW w:w="759" w:type="pct"/>
            <w:vMerge w:val="restart"/>
            <w:tcBorders>
              <w:top w:val="single" w:color="000000" w:sz="4" w:space="0"/>
              <w:left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总体方案</w:t>
            </w:r>
          </w:p>
          <w:p>
            <w:pPr>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（43分）</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满足</w:t>
            </w:r>
            <w:r>
              <w:rPr>
                <w:rFonts w:hint="eastAsia" w:ascii="仿宋" w:hAnsi="仿宋" w:eastAsia="仿宋" w:cs="仿宋"/>
                <w:color w:val="000000"/>
                <w:szCs w:val="21"/>
                <w:highlight w:val="none"/>
                <w:lang w:eastAsia="zh-CN"/>
              </w:rPr>
              <w:t>招标文件</w:t>
            </w:r>
            <w:r>
              <w:rPr>
                <w:rFonts w:hint="eastAsia" w:ascii="仿宋" w:hAnsi="仿宋" w:eastAsia="仿宋" w:cs="仿宋"/>
                <w:color w:val="000000"/>
                <w:szCs w:val="21"/>
                <w:highlight w:val="none"/>
              </w:rPr>
              <w:t>技术条款和参数，得20分</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带▲条件为重点指标，</w:t>
            </w:r>
            <w:r>
              <w:rPr>
                <w:rFonts w:hint="eastAsia" w:ascii="仿宋" w:hAnsi="仿宋" w:eastAsia="仿宋" w:cs="仿宋"/>
                <w:color w:val="000000"/>
                <w:szCs w:val="21"/>
                <w:highlight w:val="none"/>
                <w:lang w:eastAsia="zh-CN"/>
              </w:rPr>
              <w:t>每负偏离</w:t>
            </w:r>
            <w:r>
              <w:rPr>
                <w:rFonts w:hint="eastAsia" w:ascii="仿宋" w:hAnsi="仿宋" w:eastAsia="仿宋" w:cs="仿宋"/>
                <w:color w:val="000000"/>
                <w:szCs w:val="21"/>
                <w:highlight w:val="none"/>
              </w:rPr>
              <w:t>一项扣2分，其他性能指标每项偏离的扣1分，扣完为止</w:t>
            </w:r>
            <w:r>
              <w:rPr>
                <w:rFonts w:hint="eastAsia" w:ascii="仿宋" w:hAnsi="仿宋" w:eastAsia="仿宋" w:cs="仿宋"/>
                <w:color w:val="000000"/>
                <w:szCs w:val="21"/>
                <w:highlight w:val="none"/>
                <w:lang w:eastAsia="zh-CN"/>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20</w:t>
            </w:r>
          </w:p>
        </w:tc>
      </w:tr>
      <w:tr>
        <w:tblPrEx>
          <w:tblCellMar>
            <w:top w:w="0" w:type="dxa"/>
            <w:left w:w="108" w:type="dxa"/>
            <w:bottom w:w="0" w:type="dxa"/>
            <w:right w:w="108" w:type="dxa"/>
          </w:tblCellMar>
        </w:tblPrEx>
        <w:trPr>
          <w:trHeight w:val="90" w:hRule="atLeast"/>
        </w:trPr>
        <w:tc>
          <w:tcPr>
            <w:tcW w:w="443" w:type="pct"/>
            <w:vMerge w:val="continue"/>
            <w:tcBorders>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right w:val="single" w:color="000000" w:sz="4" w:space="0"/>
            </w:tcBorders>
            <w:noWrap w:val="0"/>
            <w:vAlign w:val="center"/>
          </w:tcPr>
          <w:p>
            <w:pPr>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根据投标</w:t>
            </w:r>
            <w:r>
              <w:rPr>
                <w:rFonts w:hint="eastAsia" w:ascii="仿宋" w:hAnsi="仿宋" w:eastAsia="仿宋" w:cs="仿宋"/>
                <w:color w:val="000000"/>
                <w:szCs w:val="21"/>
                <w:highlight w:val="none"/>
                <w:lang w:eastAsia="zh-CN"/>
              </w:rPr>
              <w:t>人</w:t>
            </w:r>
            <w:r>
              <w:rPr>
                <w:rFonts w:hint="eastAsia" w:ascii="仿宋" w:hAnsi="仿宋" w:eastAsia="仿宋" w:cs="仿宋"/>
                <w:color w:val="000000"/>
                <w:szCs w:val="21"/>
                <w:highlight w:val="none"/>
              </w:rPr>
              <w:t>对项目背景、现状、设计目标的整体理解进行</w:t>
            </w:r>
            <w:r>
              <w:rPr>
                <w:rFonts w:hint="eastAsia" w:ascii="仿宋" w:hAnsi="仿宋" w:eastAsia="仿宋" w:cs="仿宋"/>
                <w:color w:val="000000"/>
                <w:szCs w:val="21"/>
                <w:highlight w:val="none"/>
                <w:lang w:eastAsia="zh-CN"/>
              </w:rPr>
              <w:t>评审</w:t>
            </w:r>
            <w:r>
              <w:rPr>
                <w:rFonts w:hint="eastAsia" w:ascii="仿宋" w:hAnsi="仿宋" w:eastAsia="仿宋" w:cs="仿宋"/>
                <w:color w:val="000000"/>
                <w:szCs w:val="21"/>
                <w:highlight w:val="none"/>
              </w:rPr>
              <w:t>。要求对项目背景、现状理解程度深，设计目标针对性强，能做到无缝衔接</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优得2.1-3</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良得1.1-2</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一般得0-1</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r>
      <w:tr>
        <w:tblPrEx>
          <w:tblCellMar>
            <w:top w:w="0" w:type="dxa"/>
            <w:left w:w="108" w:type="dxa"/>
            <w:bottom w:w="0" w:type="dxa"/>
            <w:right w:w="108" w:type="dxa"/>
          </w:tblCellMar>
        </w:tblPrEx>
        <w:trPr>
          <w:trHeight w:val="891" w:hRule="atLeast"/>
        </w:trPr>
        <w:tc>
          <w:tcPr>
            <w:tcW w:w="443" w:type="pct"/>
            <w:vMerge w:val="continue"/>
            <w:tcBorders>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right w:val="single" w:color="000000" w:sz="4" w:space="0"/>
            </w:tcBorders>
            <w:noWrap w:val="0"/>
            <w:vAlign w:val="center"/>
          </w:tcPr>
          <w:p>
            <w:pPr>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根据投标人提供的项目总体设计方案，任务目标明确，设计内容全面等，根据方案的合理性、可行性、针对性、完整性等，进行综合</w:t>
            </w:r>
            <w:r>
              <w:rPr>
                <w:rFonts w:hint="eastAsia" w:ascii="仿宋" w:hAnsi="仿宋" w:eastAsia="仿宋" w:cs="仿宋"/>
                <w:color w:val="000000"/>
                <w:szCs w:val="21"/>
                <w:highlight w:val="none"/>
                <w:lang w:eastAsia="zh-CN"/>
              </w:rPr>
              <w:t>评审，优</w:t>
            </w:r>
            <w:r>
              <w:rPr>
                <w:rFonts w:hint="eastAsia" w:ascii="仿宋" w:hAnsi="仿宋" w:eastAsia="仿宋" w:cs="仿宋"/>
                <w:color w:val="000000"/>
                <w:szCs w:val="21"/>
                <w:highlight w:val="none"/>
              </w:rPr>
              <w:t>得6.1-9</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，良得</w:t>
            </w:r>
            <w:r>
              <w:rPr>
                <w:rFonts w:hint="eastAsia" w:ascii="仿宋" w:hAnsi="仿宋" w:eastAsia="仿宋" w:cs="仿宋"/>
                <w:color w:val="000000"/>
                <w:szCs w:val="21"/>
                <w:highlight w:val="none"/>
              </w:rPr>
              <w:t>3.1-6</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，一般得</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-3分</w:t>
            </w:r>
            <w:r>
              <w:rPr>
                <w:rFonts w:hint="eastAsia" w:ascii="仿宋" w:hAnsi="仿宋" w:eastAsia="仿宋" w:cs="仿宋"/>
                <w:color w:val="000000"/>
                <w:szCs w:val="21"/>
                <w:highlight w:val="none"/>
                <w:lang w:eastAsia="zh-CN"/>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9</w:t>
            </w:r>
          </w:p>
        </w:tc>
      </w:tr>
      <w:tr>
        <w:tblPrEx>
          <w:tblCellMar>
            <w:top w:w="0" w:type="dxa"/>
            <w:left w:w="108" w:type="dxa"/>
            <w:bottom w:w="0" w:type="dxa"/>
            <w:right w:w="108" w:type="dxa"/>
          </w:tblCellMar>
        </w:tblPrEx>
        <w:trPr>
          <w:trHeight w:val="983" w:hRule="atLeast"/>
        </w:trPr>
        <w:tc>
          <w:tcPr>
            <w:tcW w:w="443" w:type="pct"/>
            <w:vMerge w:val="continue"/>
            <w:tcBorders>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right w:val="single" w:color="000000" w:sz="4" w:space="0"/>
            </w:tcBorders>
            <w:noWrap w:val="0"/>
            <w:vAlign w:val="center"/>
          </w:tcPr>
          <w:p>
            <w:pPr>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rPr>
              <w:t>1、拟投入本项目的管理与作业人员总数、人员素质、技术能力、专业分布、项目经验等综合</w:t>
            </w:r>
            <w:r>
              <w:rPr>
                <w:rFonts w:hint="eastAsia" w:ascii="仿宋" w:hAnsi="仿宋" w:eastAsia="仿宋" w:cs="仿宋"/>
                <w:color w:val="000000"/>
                <w:szCs w:val="21"/>
                <w:highlight w:val="none"/>
                <w:lang w:eastAsia="zh-CN"/>
              </w:rPr>
              <w:t>评审，</w:t>
            </w:r>
            <w:r>
              <w:rPr>
                <w:rFonts w:hint="eastAsia" w:ascii="仿宋" w:hAnsi="仿宋" w:eastAsia="仿宋" w:cs="仿宋"/>
                <w:color w:val="000000"/>
                <w:szCs w:val="21"/>
                <w:highlight w:val="none"/>
              </w:rPr>
              <w:t>优得2.1-3</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良得1.</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rPr>
              <w:t>2</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一般得0-1</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需提供以上</w:t>
            </w:r>
            <w:r>
              <w:rPr>
                <w:rFonts w:hint="eastAsia" w:ascii="仿宋" w:hAnsi="仿宋" w:eastAsia="仿宋" w:cs="仿宋"/>
                <w:color w:val="000000"/>
                <w:szCs w:val="21"/>
                <w:highlight w:val="none"/>
                <w:lang w:eastAsia="zh-CN"/>
              </w:rPr>
              <w:t>拟派</w:t>
            </w:r>
            <w:r>
              <w:rPr>
                <w:rFonts w:hint="eastAsia" w:ascii="仿宋" w:hAnsi="仿宋" w:eastAsia="仿宋" w:cs="仿宋"/>
                <w:color w:val="000000"/>
                <w:szCs w:val="21"/>
                <w:highlight w:val="none"/>
              </w:rPr>
              <w:t>人员近三个月社保证明</w:t>
            </w:r>
            <w:r>
              <w:rPr>
                <w:rFonts w:hint="eastAsia" w:ascii="仿宋" w:hAnsi="仿宋" w:eastAsia="仿宋" w:cs="仿宋"/>
                <w:color w:val="000000"/>
                <w:szCs w:val="21"/>
                <w:highlight w:val="none"/>
                <w:lang w:eastAsia="zh-CN"/>
              </w:rPr>
              <w:t>及相关证明资料</w:t>
            </w: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eastAsia="zh-CN"/>
              </w:rPr>
              <w:t>未提供</w:t>
            </w:r>
            <w:r>
              <w:rPr>
                <w:rFonts w:hint="eastAsia" w:ascii="仿宋" w:hAnsi="仿宋" w:eastAsia="仿宋" w:cs="仿宋"/>
                <w:color w:val="000000"/>
                <w:szCs w:val="21"/>
                <w:highlight w:val="none"/>
              </w:rPr>
              <w:t>不得分</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br w:type="textWrapping"/>
            </w:r>
            <w:r>
              <w:rPr>
                <w:rFonts w:hint="eastAsia" w:ascii="仿宋" w:hAnsi="仿宋" w:eastAsia="仿宋" w:cs="仿宋"/>
                <w:color w:val="000000"/>
                <w:szCs w:val="21"/>
                <w:highlight w:val="none"/>
              </w:rPr>
              <w:t>2、投标人的项目组人员具有PMP项目经理证书、IHE中国委员认证证书、ORACLEOCP认证工程师资质证书、ORACLEOCM认证工程师资质证书</w:t>
            </w:r>
            <w:r>
              <w:rPr>
                <w:rFonts w:hint="eastAsia" w:ascii="仿宋" w:hAnsi="仿宋" w:eastAsia="仿宋" w:cs="仿宋"/>
                <w:color w:val="000000"/>
                <w:szCs w:val="21"/>
                <w:highlight w:val="none"/>
              </w:rPr>
              <w:t>（不同人员相同证书不重复计分）</w:t>
            </w:r>
            <w:r>
              <w:rPr>
                <w:rFonts w:hint="eastAsia" w:ascii="仿宋" w:hAnsi="仿宋" w:eastAsia="仿宋" w:cs="仿宋"/>
                <w:color w:val="000000"/>
                <w:szCs w:val="21"/>
                <w:highlight w:val="none"/>
              </w:rPr>
              <w:t>，全部满足得8分，缺一项扣2分。</w:t>
            </w:r>
            <w:r>
              <w:rPr>
                <w:rFonts w:hint="eastAsia" w:ascii="仿宋" w:hAnsi="仿宋" w:eastAsia="仿宋" w:cs="仿宋"/>
                <w:color w:val="000000"/>
                <w:szCs w:val="21"/>
                <w:highlight w:val="none"/>
                <w:lang w:eastAsia="zh-CN"/>
              </w:rPr>
              <w:t>需</w:t>
            </w:r>
            <w:r>
              <w:rPr>
                <w:rFonts w:hint="eastAsia" w:ascii="仿宋" w:hAnsi="仿宋" w:eastAsia="仿宋" w:cs="仿宋"/>
                <w:color w:val="000000"/>
                <w:szCs w:val="21"/>
                <w:highlight w:val="none"/>
              </w:rPr>
              <w:t>提供相关资格证书复印件及近三个月的社保缴纳证明复印件</w:t>
            </w:r>
            <w:r>
              <w:rPr>
                <w:rFonts w:hint="eastAsia" w:ascii="仿宋" w:hAnsi="仿宋" w:eastAsia="仿宋" w:cs="仿宋"/>
                <w:color w:val="000000"/>
                <w:szCs w:val="21"/>
                <w:highlight w:val="none"/>
                <w:lang w:eastAsia="zh-CN"/>
              </w:rPr>
              <w:t>均加盖投标人公章。</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11</w:t>
            </w:r>
          </w:p>
        </w:tc>
      </w:tr>
      <w:tr>
        <w:tblPrEx>
          <w:tblCellMar>
            <w:top w:w="0" w:type="dxa"/>
            <w:left w:w="108" w:type="dxa"/>
            <w:bottom w:w="0" w:type="dxa"/>
            <w:right w:w="108" w:type="dxa"/>
          </w:tblCellMar>
        </w:tblPrEx>
        <w:trPr>
          <w:trHeight w:val="709" w:hRule="atLeast"/>
        </w:trPr>
        <w:tc>
          <w:tcPr>
            <w:tcW w:w="443" w:type="pct"/>
            <w:vMerge w:val="continue"/>
            <w:tcBorders>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bottom w:val="single" w:color="000000" w:sz="4" w:space="0"/>
              <w:right w:val="single" w:color="000000" w:sz="4" w:space="0"/>
            </w:tcBorders>
            <w:noWrap w:val="0"/>
            <w:vAlign w:val="center"/>
          </w:tcPr>
          <w:p>
            <w:pPr>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default" w:ascii="仿宋" w:hAnsi="仿宋" w:eastAsia="仿宋" w:cs="仿宋"/>
                <w:color w:val="000000"/>
                <w:szCs w:val="21"/>
                <w:highlight w:val="none"/>
                <w:lang w:val="en-US"/>
              </w:rPr>
            </w:pPr>
            <w:r>
              <w:rPr>
                <w:rFonts w:hint="eastAsia" w:ascii="仿宋" w:hAnsi="仿宋" w:eastAsia="仿宋" w:cs="仿宋"/>
                <w:color w:val="auto"/>
                <w:szCs w:val="21"/>
                <w:highlight w:val="none"/>
              </w:rPr>
              <w:t>根据</w:t>
            </w:r>
            <w:r>
              <w:rPr>
                <w:rFonts w:hint="eastAsia" w:ascii="仿宋" w:hAnsi="仿宋" w:eastAsia="仿宋" w:cs="仿宋"/>
                <w:color w:val="auto"/>
                <w:szCs w:val="21"/>
                <w:highlight w:val="none"/>
                <w:lang w:eastAsia="zh-CN"/>
              </w:rPr>
              <w:t>投标人提供的</w:t>
            </w:r>
            <w:r>
              <w:rPr>
                <w:rFonts w:hint="eastAsia" w:ascii="仿宋" w:hAnsi="仿宋" w:eastAsia="仿宋" w:cs="仿宋"/>
                <w:color w:val="auto"/>
                <w:szCs w:val="21"/>
                <w:highlight w:val="none"/>
              </w:rPr>
              <w:t>培训方案进行综合</w:t>
            </w:r>
            <w:r>
              <w:rPr>
                <w:rFonts w:hint="eastAsia" w:ascii="仿宋" w:hAnsi="仿宋" w:eastAsia="仿宋" w:cs="仿宋"/>
                <w:color w:val="auto"/>
                <w:szCs w:val="21"/>
                <w:highlight w:val="none"/>
                <w:lang w:eastAsia="zh-CN"/>
              </w:rPr>
              <w:t>评审</w:t>
            </w:r>
            <w:r>
              <w:rPr>
                <w:rFonts w:hint="eastAsia" w:ascii="仿宋" w:hAnsi="仿宋" w:eastAsia="仿宋" w:cs="仿宋"/>
                <w:color w:val="auto"/>
                <w:szCs w:val="21"/>
                <w:highlight w:val="none"/>
              </w:rPr>
              <w:t>，要求培训方案完整、详细，满足业务要求</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有</w:t>
            </w:r>
            <w:r>
              <w:rPr>
                <w:rFonts w:hint="eastAsia" w:ascii="仿宋" w:hAnsi="仿宋" w:eastAsia="仿宋" w:cs="仿宋"/>
                <w:color w:val="auto"/>
                <w:szCs w:val="21"/>
                <w:highlight w:val="none"/>
                <w:lang w:val="en-US" w:eastAsia="zh-CN"/>
              </w:rPr>
              <w:t>类似本</w:t>
            </w:r>
            <w:r>
              <w:rPr>
                <w:rFonts w:hint="eastAsia" w:ascii="仿宋" w:hAnsi="仿宋" w:eastAsia="仿宋" w:cs="仿宋"/>
                <w:color w:val="auto"/>
                <w:szCs w:val="21"/>
                <w:highlight w:val="none"/>
                <w:lang w:val="en-US" w:eastAsia="zh-CN"/>
              </w:rPr>
              <w:t>项目培训经验</w:t>
            </w:r>
            <w:r>
              <w:rPr>
                <w:rFonts w:hint="eastAsia" w:ascii="仿宋" w:hAnsi="仿宋" w:eastAsia="仿宋" w:cs="仿宋"/>
                <w:color w:val="auto"/>
                <w:szCs w:val="21"/>
                <w:highlight w:val="none"/>
                <w:lang w:val="en-US" w:eastAsia="zh-CN"/>
              </w:rPr>
              <w:t>等内容</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val="en-US" w:eastAsia="zh-CN"/>
              </w:rPr>
              <w:t>优</w:t>
            </w:r>
            <w:r>
              <w:rPr>
                <w:rFonts w:hint="eastAsia" w:ascii="仿宋" w:hAnsi="仿宋" w:eastAsia="仿宋" w:cs="仿宋"/>
                <w:color w:val="auto"/>
                <w:szCs w:val="21"/>
                <w:highlight w:val="none"/>
              </w:rPr>
              <w:t>得</w:t>
            </w:r>
            <w:r>
              <w:rPr>
                <w:rFonts w:hint="eastAsia" w:ascii="仿宋" w:hAnsi="仿宋" w:eastAsia="仿宋" w:cs="仿宋"/>
                <w:color w:val="auto"/>
                <w:szCs w:val="21"/>
                <w:highlight w:val="none"/>
                <w:lang w:val="en-US" w:eastAsia="zh-CN"/>
              </w:rPr>
              <w:t>1.6-</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.0分，良得1.1-1.5</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eastAsia="zh-CN"/>
              </w:rPr>
              <w:t>，一般得</w:t>
            </w:r>
            <w:r>
              <w:rPr>
                <w:rFonts w:hint="eastAsia" w:ascii="仿宋" w:hAnsi="仿宋" w:eastAsia="仿宋" w:cs="仿宋"/>
                <w:color w:val="auto"/>
                <w:szCs w:val="21"/>
                <w:highlight w:val="none"/>
                <w:lang w:val="en-US" w:eastAsia="zh-CN"/>
              </w:rPr>
              <w:t>0-1.0分。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CellMar>
            <w:top w:w="0" w:type="dxa"/>
            <w:left w:w="108" w:type="dxa"/>
            <w:bottom w:w="0" w:type="dxa"/>
            <w:right w:w="108" w:type="dxa"/>
          </w:tblCellMar>
        </w:tblPrEx>
        <w:trPr>
          <w:trHeight w:val="564" w:hRule="atLeast"/>
        </w:trPr>
        <w:tc>
          <w:tcPr>
            <w:tcW w:w="443" w:type="pct"/>
            <w:vMerge w:val="restart"/>
            <w:tcBorders>
              <w:top w:val="single" w:color="000000" w:sz="4" w:space="0"/>
              <w:left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3</w:t>
            </w:r>
          </w:p>
          <w:p>
            <w:pPr>
              <w:spacing w:line="440" w:lineRule="exact"/>
              <w:jc w:val="center"/>
              <w:rPr>
                <w:rFonts w:hint="eastAsia" w:ascii="仿宋" w:hAnsi="仿宋" w:eastAsia="仿宋" w:cs="仿宋"/>
                <w:color w:val="000000"/>
                <w:szCs w:val="21"/>
                <w:highlight w:val="none"/>
              </w:rPr>
            </w:pPr>
          </w:p>
        </w:tc>
        <w:tc>
          <w:tcPr>
            <w:tcW w:w="759" w:type="pct"/>
            <w:vMerge w:val="restart"/>
            <w:tcBorders>
              <w:top w:val="single" w:color="000000" w:sz="4" w:space="0"/>
              <w:left w:val="single" w:color="000000" w:sz="4" w:space="0"/>
              <w:right w:val="single" w:color="000000" w:sz="4" w:space="0"/>
            </w:tcBorders>
            <w:noWrap w:val="0"/>
            <w:vAlign w:val="center"/>
          </w:tcPr>
          <w:p>
            <w:pPr>
              <w:ind w:right="-57"/>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售后服务</w:t>
            </w:r>
          </w:p>
          <w:p>
            <w:pPr>
              <w:ind w:right="-57"/>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（6分）</w:t>
            </w:r>
          </w:p>
          <w:p>
            <w:pPr>
              <w:ind w:right="-57"/>
              <w:jc w:val="center"/>
              <w:textAlignment w:val="center"/>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ind w:right="-57"/>
              <w:jc w:val="left"/>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软件系统除1年免费质保期外，每增加1年加1分，</w:t>
            </w:r>
            <w:r>
              <w:rPr>
                <w:rFonts w:hint="eastAsia" w:ascii="仿宋" w:hAnsi="仿宋" w:eastAsia="仿宋" w:cs="仿宋"/>
                <w:color w:val="000000"/>
                <w:szCs w:val="21"/>
                <w:highlight w:val="none"/>
                <w:lang w:eastAsia="zh-CN"/>
              </w:rPr>
              <w:t>本项最高得</w:t>
            </w:r>
            <w:r>
              <w:rPr>
                <w:rFonts w:hint="eastAsia" w:ascii="仿宋" w:hAnsi="仿宋" w:eastAsia="仿宋" w:cs="仿宋"/>
                <w:color w:val="000000"/>
                <w:szCs w:val="21"/>
                <w:highlight w:val="none"/>
              </w:rPr>
              <w:t>3分。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ind w:right="-57"/>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r>
      <w:tr>
        <w:tblPrEx>
          <w:tblCellMar>
            <w:top w:w="0" w:type="dxa"/>
            <w:left w:w="108" w:type="dxa"/>
            <w:bottom w:w="0" w:type="dxa"/>
            <w:right w:w="108" w:type="dxa"/>
          </w:tblCellMar>
        </w:tblPrEx>
        <w:trPr>
          <w:trHeight w:val="558" w:hRule="atLeast"/>
        </w:trPr>
        <w:tc>
          <w:tcPr>
            <w:tcW w:w="443" w:type="pct"/>
            <w:vMerge w:val="continue"/>
            <w:tcBorders>
              <w:left w:val="single" w:color="000000" w:sz="4" w:space="0"/>
              <w:bottom w:val="single" w:color="auto"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p>
        </w:tc>
        <w:tc>
          <w:tcPr>
            <w:tcW w:w="759" w:type="pct"/>
            <w:vMerge w:val="continue"/>
            <w:tcBorders>
              <w:left w:val="single" w:color="000000" w:sz="4" w:space="0"/>
              <w:bottom w:val="single" w:color="auto" w:sz="4" w:space="0"/>
              <w:right w:val="single" w:color="000000" w:sz="4" w:space="0"/>
            </w:tcBorders>
            <w:noWrap w:val="0"/>
            <w:vAlign w:val="center"/>
          </w:tcPr>
          <w:p>
            <w:pPr>
              <w:ind w:right="-57"/>
              <w:jc w:val="center"/>
              <w:textAlignment w:val="center"/>
              <w:rPr>
                <w:rFonts w:hint="eastAsia" w:ascii="仿宋" w:hAnsi="仿宋" w:eastAsia="仿宋" w:cs="仿宋"/>
                <w:color w:val="000000"/>
                <w:szCs w:val="21"/>
                <w:highlight w:val="none"/>
              </w:rPr>
            </w:pP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为保证售后服务质量，投标人具有有效期内的信息技术服务运行维护标准符合性证书（ITSS）成熟度等级2级及以上的得3分，</w:t>
            </w:r>
            <w:r>
              <w:rPr>
                <w:rFonts w:hint="eastAsia" w:ascii="仿宋" w:hAnsi="仿宋" w:eastAsia="仿宋" w:cs="仿宋"/>
                <w:color w:val="000000"/>
                <w:szCs w:val="21"/>
                <w:highlight w:val="none"/>
                <w:lang w:eastAsia="zh-CN"/>
              </w:rPr>
              <w:t>需</w:t>
            </w:r>
            <w:r>
              <w:rPr>
                <w:rFonts w:hint="eastAsia" w:ascii="仿宋" w:hAnsi="仿宋" w:eastAsia="仿宋" w:cs="仿宋"/>
                <w:color w:val="000000"/>
                <w:szCs w:val="21"/>
                <w:highlight w:val="none"/>
              </w:rPr>
              <w:t>提供证书提供复印件加盖投标人公章</w:t>
            </w:r>
            <w:r>
              <w:rPr>
                <w:rFonts w:hint="eastAsia" w:ascii="仿宋" w:hAnsi="仿宋" w:eastAsia="仿宋" w:cs="仿宋"/>
                <w:color w:val="000000"/>
                <w:szCs w:val="21"/>
                <w:highlight w:val="none"/>
                <w:lang w:eastAsia="zh-CN"/>
              </w:rPr>
              <w:t>，未提供不得分</w:t>
            </w:r>
            <w:r>
              <w:rPr>
                <w:rFonts w:hint="eastAsia" w:ascii="仿宋" w:hAnsi="仿宋" w:eastAsia="仿宋" w:cs="仿宋"/>
                <w:color w:val="000000"/>
                <w:szCs w:val="21"/>
                <w:highlight w:val="none"/>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r>
      <w:tr>
        <w:tblPrEx>
          <w:tblCellMar>
            <w:top w:w="0" w:type="dxa"/>
            <w:left w:w="108" w:type="dxa"/>
            <w:bottom w:w="0" w:type="dxa"/>
            <w:right w:w="108" w:type="dxa"/>
          </w:tblCellMar>
        </w:tblPrEx>
        <w:trPr>
          <w:trHeight w:val="588" w:hRule="atLeast"/>
        </w:trPr>
        <w:tc>
          <w:tcPr>
            <w:tcW w:w="443" w:type="pct"/>
            <w:tcBorders>
              <w:top w:val="single" w:color="auto"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4</w:t>
            </w:r>
          </w:p>
        </w:tc>
        <w:tc>
          <w:tcPr>
            <w:tcW w:w="759" w:type="pct"/>
            <w:tcBorders>
              <w:top w:val="single" w:color="auto" w:sz="4" w:space="0"/>
              <w:left w:val="single" w:color="000000" w:sz="4" w:space="0"/>
              <w:bottom w:val="single" w:color="auto"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本地化服务</w:t>
            </w:r>
          </w:p>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（2分）</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投标人承诺能半小时内响应的得2分；承诺能一个小时内响应的得1分；大于一个小时</w:t>
            </w:r>
            <w:r>
              <w:rPr>
                <w:rFonts w:hint="eastAsia" w:ascii="仿宋" w:hAnsi="仿宋" w:eastAsia="仿宋" w:cs="仿宋"/>
                <w:color w:val="000000"/>
                <w:szCs w:val="21"/>
                <w:highlight w:val="none"/>
                <w:lang w:eastAsia="zh-CN"/>
              </w:rPr>
              <w:t>或未承诺不得分</w:t>
            </w:r>
            <w:r>
              <w:rPr>
                <w:rFonts w:hint="eastAsia" w:ascii="仿宋" w:hAnsi="仿宋" w:eastAsia="仿宋" w:cs="仿宋"/>
                <w:color w:val="000000"/>
                <w:szCs w:val="21"/>
                <w:highlight w:val="none"/>
              </w:rPr>
              <w:t>。</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r>
        <w:tblPrEx>
          <w:tblCellMar>
            <w:top w:w="0" w:type="dxa"/>
            <w:left w:w="108" w:type="dxa"/>
            <w:bottom w:w="0" w:type="dxa"/>
            <w:right w:w="108" w:type="dxa"/>
          </w:tblCellMar>
        </w:tblPrEx>
        <w:trPr>
          <w:trHeight w:val="720" w:hRule="atLeast"/>
        </w:trPr>
        <w:tc>
          <w:tcPr>
            <w:tcW w:w="443"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5</w:t>
            </w:r>
          </w:p>
        </w:tc>
        <w:tc>
          <w:tcPr>
            <w:tcW w:w="759" w:type="pct"/>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标书质量</w:t>
            </w:r>
          </w:p>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（2分）</w:t>
            </w:r>
          </w:p>
        </w:tc>
        <w:tc>
          <w:tcPr>
            <w:tcW w:w="3416" w:type="pct"/>
            <w:tcBorders>
              <w:top w:val="single" w:color="000000" w:sz="4" w:space="0"/>
              <w:left w:val="single" w:color="000000" w:sz="4" w:space="0"/>
              <w:bottom w:val="single" w:color="000000" w:sz="4" w:space="0"/>
              <w:right w:val="single" w:color="000000" w:sz="4" w:space="0"/>
            </w:tcBorders>
            <w:noWrap w:val="0"/>
            <w:vAlign w:val="center"/>
          </w:tcPr>
          <w:p>
            <w:pPr>
              <w:widowControl/>
              <w:rPr>
                <w:rFonts w:hint="default" w:ascii="仿宋" w:hAnsi="仿宋" w:eastAsia="仿宋" w:cs="仿宋"/>
                <w:color w:val="000000"/>
                <w:szCs w:val="21"/>
                <w:highlight w:val="none"/>
                <w:lang w:val="en-US" w:eastAsia="zh-CN"/>
              </w:rPr>
            </w:pPr>
            <w:r>
              <w:rPr>
                <w:rFonts w:hint="eastAsia" w:ascii="仿宋" w:hAnsi="仿宋" w:eastAsia="仿宋" w:cs="仿宋"/>
                <w:color w:val="000000"/>
                <w:szCs w:val="21"/>
                <w:highlight w:val="none"/>
              </w:rPr>
              <w:t>投标文件制作条理清晰、易查、完整性等进行</w:t>
            </w:r>
            <w:r>
              <w:rPr>
                <w:rFonts w:hint="eastAsia" w:ascii="仿宋" w:hAnsi="仿宋" w:eastAsia="仿宋" w:cs="仿宋"/>
                <w:color w:val="000000"/>
                <w:szCs w:val="21"/>
                <w:highlight w:val="none"/>
                <w:lang w:eastAsia="zh-CN"/>
              </w:rPr>
              <w:t>评审，</w:t>
            </w:r>
            <w:r>
              <w:rPr>
                <w:rFonts w:hint="eastAsia" w:ascii="仿宋" w:hAnsi="仿宋" w:eastAsia="仿宋" w:cs="仿宋"/>
                <w:color w:val="000000"/>
                <w:szCs w:val="21"/>
                <w:highlight w:val="none"/>
              </w:rPr>
              <w:t>优得</w:t>
            </w:r>
            <w:r>
              <w:rPr>
                <w:rFonts w:hint="eastAsia" w:ascii="仿宋" w:hAnsi="仿宋" w:eastAsia="仿宋" w:cs="仿宋"/>
                <w:color w:val="000000"/>
                <w:szCs w:val="21"/>
                <w:highlight w:val="none"/>
                <w:lang w:val="en-US" w:eastAsia="zh-CN"/>
              </w:rPr>
              <w:t>1.6-</w:t>
            </w:r>
            <w:r>
              <w:rPr>
                <w:rFonts w:hint="eastAsia" w:ascii="仿宋" w:hAnsi="仿宋" w:eastAsia="仿宋" w:cs="仿宋"/>
                <w:color w:val="000000"/>
                <w:szCs w:val="21"/>
                <w:highlight w:val="none"/>
              </w:rPr>
              <w:t>2</w:t>
            </w:r>
            <w:r>
              <w:rPr>
                <w:rFonts w:hint="eastAsia" w:ascii="仿宋" w:hAnsi="仿宋" w:eastAsia="仿宋" w:cs="仿宋"/>
                <w:color w:val="000000"/>
                <w:szCs w:val="21"/>
                <w:highlight w:val="none"/>
                <w:lang w:val="en-US" w:eastAsia="zh-CN"/>
              </w:rPr>
              <w:t>.0</w:t>
            </w:r>
            <w:r>
              <w:rPr>
                <w:rFonts w:hint="eastAsia" w:ascii="仿宋" w:hAnsi="仿宋" w:eastAsia="仿宋" w:cs="仿宋"/>
                <w:color w:val="000000"/>
                <w:szCs w:val="21"/>
                <w:highlight w:val="none"/>
              </w:rPr>
              <w:t>分，良得1</w:t>
            </w:r>
            <w:r>
              <w:rPr>
                <w:rFonts w:hint="eastAsia" w:ascii="仿宋" w:hAnsi="仿宋" w:eastAsia="仿宋" w:cs="仿宋"/>
                <w:color w:val="000000"/>
                <w:szCs w:val="21"/>
                <w:highlight w:val="none"/>
                <w:lang w:val="en-US" w:eastAsia="zh-CN"/>
              </w:rPr>
              <w:t>.1-1.5</w:t>
            </w:r>
            <w:r>
              <w:rPr>
                <w:rFonts w:hint="eastAsia" w:ascii="仿宋" w:hAnsi="仿宋" w:eastAsia="仿宋" w:cs="仿宋"/>
                <w:color w:val="000000"/>
                <w:szCs w:val="21"/>
                <w:highlight w:val="none"/>
              </w:rPr>
              <w:t>分，一般</w:t>
            </w:r>
            <w:r>
              <w:rPr>
                <w:rFonts w:hint="eastAsia" w:ascii="仿宋" w:hAnsi="仿宋" w:eastAsia="仿宋" w:cs="仿宋"/>
                <w:color w:val="000000"/>
                <w:szCs w:val="21"/>
                <w:highlight w:val="none"/>
                <w:lang w:eastAsia="zh-CN"/>
              </w:rPr>
              <w:t>得</w:t>
            </w:r>
            <w:r>
              <w:rPr>
                <w:rFonts w:hint="eastAsia" w:ascii="仿宋" w:hAnsi="仿宋" w:eastAsia="仿宋" w:cs="仿宋"/>
                <w:color w:val="000000"/>
                <w:szCs w:val="21"/>
                <w:highlight w:val="none"/>
                <w:lang w:val="en-US" w:eastAsia="zh-CN"/>
              </w:rPr>
              <w:t>0-1.0分。</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p>
        </w:tc>
      </w:tr>
    </w:tbl>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2.2价格分（30分）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sz w:val="36"/>
          <w:szCs w:val="20"/>
          <w:highlight w:val="none"/>
        </w:rPr>
      </w:pPr>
      <w:r>
        <w:rPr>
          <w:rFonts w:hint="eastAsia" w:ascii="仿宋" w:hAnsi="仿宋" w:eastAsia="仿宋" w:cs="仿宋"/>
          <w:bCs/>
          <w:iCs/>
          <w:sz w:val="24"/>
          <w:highlight w:val="none"/>
        </w:rPr>
        <w:t>即：投标报价得分=(评标基准价／投标报价)×30</w:t>
      </w:r>
      <w:bookmarkEnd w:id="8"/>
      <w:bookmarkEnd w:id="9"/>
      <w:bookmarkEnd w:id="10"/>
      <w:bookmarkEnd w:id="11"/>
    </w:p>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投标文件</w:t>
      </w:r>
      <w:r>
        <w:rPr>
          <w:rFonts w:hint="eastAsia" w:ascii="仿宋" w:hAnsi="仿宋" w:eastAsia="仿宋" w:cs="仿宋"/>
          <w:b/>
          <w:sz w:val="36"/>
          <w:szCs w:val="20"/>
          <w:highlight w:val="none"/>
        </w:rPr>
        <w:t>应提交的有关格式范例</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rPr>
        <w:t>……………………………………（页码）</w:t>
      </w:r>
    </w:p>
    <w:p>
      <w:pPr>
        <w:pStyle w:val="20"/>
        <w:spacing w:line="800" w:lineRule="atLeast"/>
        <w:ind w:left="0" w:leftChars="0"/>
        <w:rPr>
          <w:rFonts w:hint="eastAsia" w:ascii="仿宋" w:hAnsi="仿宋" w:eastAsia="仿宋" w:cs="仿宋"/>
          <w:b/>
          <w:sz w:val="36"/>
          <w:szCs w:val="36"/>
          <w:highlight w:val="none"/>
        </w:rPr>
      </w:pPr>
    </w:p>
    <w:p>
      <w:pPr>
        <w:pStyle w:val="20"/>
        <w:spacing w:line="800" w:lineRule="atLeast"/>
        <w:ind w:left="0" w:leftChars="0"/>
        <w:rPr>
          <w:rFonts w:hint="eastAsia" w:ascii="仿宋" w:hAnsi="仿宋" w:eastAsia="仿宋" w:cs="仿宋"/>
          <w:b/>
          <w:sz w:val="36"/>
          <w:szCs w:val="36"/>
          <w:highlight w:val="none"/>
        </w:rPr>
      </w:pPr>
    </w:p>
    <w:p>
      <w:pPr>
        <w:pStyle w:val="20"/>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70"/>
        <w:spacing w:afterLines="0" w:line="440" w:lineRule="exact"/>
        <w:ind w:firstLine="0" w:firstLineChars="0"/>
        <w:rPr>
          <w:rFonts w:hint="eastAsia" w:ascii="仿宋" w:hAnsi="仿宋" w:eastAsia="仿宋" w:cs="仿宋"/>
          <w:szCs w:val="24"/>
          <w:highlight w:val="none"/>
        </w:rPr>
      </w:pPr>
    </w:p>
    <w:p>
      <w:pPr>
        <w:pStyle w:val="70"/>
        <w:spacing w:afterLines="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绍兴市中医院、泰宇建筑工程技术咨询有限公司</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1.</w:t>
      </w:r>
      <w:r>
        <w:rPr>
          <w:rFonts w:hint="eastAsia" w:ascii="仿宋" w:hAnsi="仿宋" w:eastAsia="仿宋" w:cs="仿宋"/>
          <w:highlight w:val="none"/>
        </w:rPr>
        <w:t>我方同意在投标人</w:t>
      </w:r>
      <w:r>
        <w:rPr>
          <w:rFonts w:hint="eastAsia" w:ascii="仿宋" w:hAnsi="仿宋" w:eastAsia="仿宋" w:cs="仿宋"/>
          <w:kern w:val="44"/>
          <w:highlight w:val="none"/>
        </w:rPr>
        <w:t>须知</w:t>
      </w:r>
      <w:r>
        <w:rPr>
          <w:rFonts w:hint="eastAsia" w:ascii="仿宋" w:hAnsi="仿宋" w:eastAsia="仿宋" w:cs="仿宋"/>
          <w:highlight w:val="none"/>
        </w:rPr>
        <w:t>规定的开标日期起遵守本投标文件中的承诺且在投标有效期满之前均具有约束力</w:t>
      </w:r>
      <w:r>
        <w:rPr>
          <w:rFonts w:hint="eastAsia" w:ascii="仿宋" w:hAnsi="仿宋" w:eastAsia="仿宋" w:cs="仿宋"/>
          <w:szCs w:val="24"/>
          <w:highlight w:val="none"/>
        </w:rPr>
        <w:t>。</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70"/>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3.</w:t>
      </w:r>
      <w:r>
        <w:rPr>
          <w:rFonts w:hint="eastAsia" w:ascii="仿宋" w:hAnsi="仿宋" w:eastAsia="仿宋" w:cs="仿宋"/>
          <w:highlight w:val="none"/>
        </w:rPr>
        <w:t>本公司投标文件中填列的技术参数、配置、服务、数量等相关内容都是真实、准确的。保证在本次项目中所提供的资料全部真实和合法。同意向代理机构提供可能另外要求的与投标有关的任何数据或资料。</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szCs w:val="24"/>
          <w:highlight w:val="none"/>
        </w:rPr>
      </w:pPr>
      <w:r>
        <w:rPr>
          <w:rFonts w:hint="eastAsia" w:ascii="仿宋" w:hAnsi="仿宋" w:eastAsia="仿宋" w:cs="仿宋"/>
          <w:highlight w:val="none"/>
        </w:rPr>
        <w:t>5.</w:t>
      </w:r>
      <w:r>
        <w:rPr>
          <w:rFonts w:hint="eastAsia" w:ascii="仿宋" w:hAnsi="仿宋" w:eastAsia="仿宋" w:cs="仿宋"/>
          <w:szCs w:val="24"/>
          <w:highlight w:val="none"/>
        </w:rPr>
        <w:t>本投标自开标之日（投标截止之日）起90天内有效。</w:t>
      </w:r>
    </w:p>
    <w:p>
      <w:pPr>
        <w:pStyle w:val="70"/>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6</w:t>
      </w:r>
      <w:r>
        <w:rPr>
          <w:rFonts w:hint="eastAsia" w:ascii="仿宋" w:hAnsi="仿宋" w:eastAsia="仿宋" w:cs="仿宋"/>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pPr>
        <w:pStyle w:val="7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pStyle w:val="70"/>
        <w:spacing w:afterLines="0" w:line="440" w:lineRule="exact"/>
        <w:ind w:firstLine="480"/>
        <w:rPr>
          <w:rFonts w:hint="eastAsia" w:ascii="仿宋" w:hAnsi="仿宋" w:eastAsia="仿宋" w:cs="仿宋"/>
          <w:b/>
          <w:sz w:val="30"/>
          <w:szCs w:val="30"/>
          <w:highlight w:val="none"/>
        </w:rPr>
      </w:pPr>
      <w:r>
        <w:rPr>
          <w:rFonts w:hint="eastAsia" w:ascii="仿宋" w:hAnsi="仿宋" w:eastAsia="仿宋" w:cs="仿宋"/>
          <w:szCs w:val="24"/>
          <w:highlight w:val="none"/>
        </w:rPr>
        <w:t xml:space="preserve">投标人(电子签章)：　　　　　　　　　日期：   </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2、开标一览表（格式）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投标人名称：</w:t>
      </w:r>
    </w:p>
    <w:p>
      <w:pPr>
        <w:snapToGrid w:val="0"/>
        <w:spacing w:line="400" w:lineRule="exact"/>
        <w:rPr>
          <w:rFonts w:hint="eastAsia" w:ascii="仿宋" w:hAnsi="仿宋" w:eastAsia="仿宋" w:cs="仿宋"/>
          <w:sz w:val="24"/>
          <w:highlight w:val="none"/>
        </w:rPr>
      </w:pPr>
      <w:r>
        <w:rPr>
          <w:rFonts w:hint="eastAsia" w:ascii="仿宋" w:hAnsi="仿宋" w:eastAsia="仿宋" w:cs="仿宋"/>
          <w:sz w:val="24"/>
          <w:highlight w:val="none"/>
        </w:rPr>
        <w:t>标    项：</w:t>
      </w:r>
    </w:p>
    <w:p>
      <w:pPr>
        <w:snapToGrid w:val="0"/>
        <w:spacing w:line="400" w:lineRule="exact"/>
        <w:rPr>
          <w:rFonts w:hint="eastAsia" w:ascii="仿宋" w:hAnsi="仿宋" w:eastAsia="仿宋" w:cs="仿宋"/>
          <w:sz w:val="24"/>
          <w:highlight w:val="none"/>
          <w:u w:val="single"/>
        </w:rPr>
      </w:pPr>
      <w:r>
        <w:rPr>
          <w:rFonts w:hint="eastAsia" w:ascii="仿宋" w:hAnsi="仿宋" w:eastAsia="仿宋" w:cs="仿宋"/>
          <w:sz w:val="24"/>
          <w:highlight w:val="none"/>
        </w:rPr>
        <w:t>招标编号：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24" w:firstLineChars="202"/>
              <w:rPr>
                <w:rStyle w:val="288"/>
                <w:rFonts w:hint="eastAsia" w:ascii="仿宋" w:hAnsi="仿宋" w:eastAsia="仿宋" w:cs="仿宋"/>
                <w:szCs w:val="21"/>
                <w:highlight w:val="none"/>
              </w:rPr>
            </w:pPr>
          </w:p>
        </w:tc>
        <w:tc>
          <w:tcPr>
            <w:tcW w:w="720" w:type="dxa"/>
            <w:vAlign w:val="center"/>
          </w:tcPr>
          <w:p>
            <w:pPr>
              <w:adjustRightInd w:val="0"/>
              <w:snapToGrid w:val="0"/>
              <w:ind w:right="172" w:rightChars="82" w:firstLine="424" w:firstLineChars="202"/>
              <w:rPr>
                <w:rStyle w:val="288"/>
                <w:rFonts w:hint="eastAsia" w:ascii="仿宋" w:hAnsi="仿宋" w:eastAsia="仿宋" w:cs="仿宋"/>
                <w:szCs w:val="21"/>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sz w:val="24"/>
          <w:highlight w:val="none"/>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highlight w:val="none"/>
          <w:lang w:val="zh-CN"/>
        </w:rPr>
      </w:pPr>
      <w:r>
        <w:rPr>
          <w:rFonts w:hint="eastAsia" w:ascii="仿宋" w:hAnsi="仿宋" w:eastAsia="仿宋" w:cs="仿宋"/>
          <w:b/>
          <w:sz w:val="24"/>
          <w:highlight w:val="none"/>
        </w:rPr>
        <w:t>6</w:t>
      </w:r>
      <w:r>
        <w:rPr>
          <w:rFonts w:hint="eastAsia" w:ascii="仿宋" w:hAnsi="仿宋" w:eastAsia="仿宋" w:cs="仿宋"/>
          <w:b/>
          <w:kern w:val="0"/>
          <w:sz w:val="24"/>
          <w:highlight w:val="none"/>
          <w:lang w:val="zh-CN"/>
        </w:rPr>
        <w:t>.特别提示：采购机构将对</w:t>
      </w:r>
      <w:r>
        <w:rPr>
          <w:rFonts w:hint="eastAsia" w:ascii="仿宋" w:hAnsi="仿宋" w:eastAsia="仿宋" w:cs="仿宋"/>
          <w:b/>
          <w:kern w:val="0"/>
          <w:sz w:val="24"/>
          <w:highlight w:val="none"/>
        </w:rPr>
        <w:t>项目名称和项目编号，中标供应商名称、地址和中标金额，主要中标标的的名称、规格型号、数量、单价、服务要求等</w:t>
      </w:r>
      <w:r>
        <w:rPr>
          <w:rFonts w:hint="eastAsia" w:ascii="仿宋" w:hAnsi="仿宋" w:eastAsia="仿宋" w:cs="仿宋"/>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（1）法定代表人授权书 …………………………………………………………（页码）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（2）授权代表社保证明（复印件）………………………………………………（页码）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（3）法定代表人及其授权代表的身份证（复印件）……………………………（页码）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（4）法定代表人身份证明书………………………………………………………（页码）</w:t>
      </w:r>
    </w:p>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（5）所有与符合性审查有关的资信文件（复印件）（营业执照、2021年度财务报表、纳税和社保缴纳证明</w:t>
      </w:r>
      <w:r>
        <w:rPr>
          <w:rFonts w:hint="eastAsia" w:ascii="仿宋" w:hAnsi="仿宋" w:eastAsia="仿宋" w:cs="仿宋"/>
          <w:kern w:val="0"/>
          <w:sz w:val="24"/>
          <w:highlight w:val="none"/>
        </w:rPr>
        <w:t>）</w:t>
      </w:r>
      <w:r>
        <w:rPr>
          <w:rFonts w:hint="eastAsia" w:ascii="仿宋" w:hAnsi="仿宋" w:eastAsia="仿宋" w:cs="仿宋"/>
          <w:highlight w:val="none"/>
          <w:lang w:val="zh-CN"/>
        </w:rPr>
        <w:t>………………………………………………………</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kern w:val="0"/>
          <w:sz w:val="24"/>
          <w:highlight w:val="none"/>
        </w:rPr>
        <w:t>（页码）</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（6）具有履</w:t>
      </w:r>
      <w:r>
        <w:rPr>
          <w:rFonts w:hint="eastAsia" w:ascii="仿宋" w:hAnsi="仿宋" w:eastAsia="仿宋" w:cs="仿宋"/>
          <w:kern w:val="0"/>
          <w:sz w:val="24"/>
          <w:highlight w:val="none"/>
        </w:rPr>
        <w:t>行合同所必需的设备和专业技术能力的承诺函……………………（页码）</w:t>
      </w:r>
    </w:p>
    <w:p>
      <w:pPr>
        <w:pStyle w:val="194"/>
        <w:spacing w:line="360" w:lineRule="auto"/>
        <w:ind w:firstLine="0" w:firstLineChars="0"/>
        <w:rPr>
          <w:rFonts w:hint="eastAsia" w:ascii="仿宋" w:hAnsi="仿宋" w:eastAsia="仿宋" w:cs="仿宋"/>
          <w:kern w:val="0"/>
          <w:highlight w:val="none"/>
        </w:rPr>
      </w:pPr>
      <w:r>
        <w:rPr>
          <w:rFonts w:hint="eastAsia" w:ascii="仿宋" w:hAnsi="仿宋" w:eastAsia="仿宋" w:cs="仿宋"/>
          <w:highlight w:val="none"/>
        </w:rPr>
        <w:t>（7）重大违法记录的声明</w:t>
      </w:r>
      <w:r>
        <w:rPr>
          <w:rFonts w:hint="eastAsia" w:ascii="仿宋" w:hAnsi="仿宋" w:eastAsia="仿宋" w:cs="仿宋"/>
          <w:kern w:val="0"/>
          <w:highlight w:val="none"/>
        </w:rPr>
        <w:t xml:space="preserve"> …</w:t>
      </w:r>
      <w:r>
        <w:rPr>
          <w:rFonts w:hint="eastAsia" w:ascii="仿宋" w:hAnsi="仿宋" w:eastAsia="仿宋" w:cs="仿宋"/>
          <w:highlight w:val="none"/>
        </w:rPr>
        <w:t>……………………………………………………</w:t>
      </w:r>
      <w:r>
        <w:rPr>
          <w:rFonts w:hint="eastAsia" w:ascii="仿宋" w:hAnsi="仿宋" w:eastAsia="仿宋" w:cs="仿宋"/>
          <w:kern w:val="0"/>
          <w:highlight w:val="none"/>
        </w:rPr>
        <w:t>（页码）</w:t>
      </w:r>
    </w:p>
    <w:p>
      <w:pPr>
        <w:pStyle w:val="194"/>
        <w:spacing w:line="360" w:lineRule="auto"/>
        <w:ind w:firstLine="0" w:firstLineChars="0"/>
        <w:rPr>
          <w:rFonts w:hint="eastAsia" w:ascii="仿宋" w:hAnsi="仿宋" w:eastAsia="仿宋" w:cs="仿宋"/>
          <w:highlight w:val="none"/>
        </w:rPr>
      </w:pPr>
      <w:r>
        <w:rPr>
          <w:rFonts w:hint="eastAsia" w:ascii="仿宋" w:hAnsi="仿宋" w:eastAsia="仿宋" w:cs="仿宋"/>
          <w:highlight w:val="none"/>
        </w:rPr>
        <w:t>（8）符合特定资格条件（如果项目要求）的有关证明材料（复印件）………（页码）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（9）</w:t>
      </w:r>
      <w:r>
        <w:rPr>
          <w:rFonts w:hint="eastAsia" w:ascii="仿宋" w:hAnsi="仿宋" w:eastAsia="仿宋" w:cs="仿宋"/>
          <w:snapToGrid w:val="0"/>
          <w:highlight w:val="none"/>
        </w:rPr>
        <w:t>非本地投标人售后服务机构证明材料</w:t>
      </w:r>
      <w:r>
        <w:rPr>
          <w:rFonts w:hint="eastAsia" w:ascii="仿宋" w:hAnsi="仿宋" w:eastAsia="仿宋" w:cs="仿宋"/>
          <w:highlight w:val="none"/>
        </w:rPr>
        <w:t>……………………………………（页码）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（10）</w:t>
      </w:r>
      <w:r>
        <w:rPr>
          <w:rFonts w:hint="eastAsia" w:ascii="仿宋" w:hAnsi="仿宋" w:eastAsia="仿宋" w:cs="仿宋"/>
          <w:highlight w:val="none"/>
          <w:lang w:val="zh-CN"/>
        </w:rPr>
        <w:t>主要业绩证明…………………………………………………</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highlight w:val="none"/>
        </w:rPr>
        <w:t>（页码）</w:t>
      </w:r>
    </w:p>
    <w:p>
      <w:pPr>
        <w:pStyle w:val="194"/>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（11）廉政承诺书 …………………………………………………………………（页码）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（12）技术解决方案…………………………………………………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（13）技术偏离说明表………………………………………………</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（15）售后服务方案……………………………………………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（16）项目小组人员名单………………………………………</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（19）</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（20）</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（21）</w:t>
      </w:r>
      <w:r>
        <w:rPr>
          <w:rFonts w:hint="eastAsia" w:ascii="仿宋" w:hAnsi="仿宋" w:eastAsia="仿宋" w:cs="仿宋"/>
          <w:kern w:val="0"/>
          <w:sz w:val="24"/>
          <w:highlight w:val="none"/>
          <w:lang w:val="zh-CN"/>
        </w:rPr>
        <w:t>联合协议（如有）……………………………………………………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zh-CN"/>
        </w:rPr>
        <w:t>分包意向协议（如有）…………………………………………</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（23）中小企业声明函</w:t>
      </w:r>
      <w:r>
        <w:rPr>
          <w:rFonts w:hint="eastAsia" w:ascii="仿宋" w:hAnsi="仿宋" w:eastAsia="仿宋" w:cs="仿宋"/>
          <w:kern w:val="0"/>
          <w:sz w:val="24"/>
          <w:highlight w:val="none"/>
          <w:lang w:val="zh-CN"/>
        </w:rPr>
        <w:t>（如有）</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（24）</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绍兴市中医院、泰宇建筑工程技术咨询有限公司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处方信息流转及惠民平台信息系统改造服务项目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绍兴市中医院、泰宇建筑工程技术咨询有限公司</w:t>
      </w:r>
      <w:r>
        <w:rPr>
          <w:rFonts w:hint="eastAsia" w:ascii="仿宋" w:hAnsi="仿宋" w:eastAsia="仿宋" w:cs="仿宋"/>
          <w:sz w:val="24"/>
          <w:highlight w:val="none"/>
        </w:rPr>
        <w:t>组织的</w:t>
      </w:r>
      <w:r>
        <w:rPr>
          <w:rFonts w:hint="eastAsia" w:ascii="仿宋" w:hAnsi="仿宋" w:eastAsia="仿宋" w:cs="仿宋"/>
          <w:sz w:val="24"/>
          <w:highlight w:val="none"/>
          <w:u w:val="single"/>
          <w:lang w:eastAsia="zh-CN"/>
        </w:rPr>
        <w:t>处方信息流转及惠民平台信息系统改造服务项目</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800" w:lineRule="exact"/>
        <w:rPr>
          <w:rFonts w:hint="eastAsia" w:ascii="仿宋" w:hAnsi="仿宋" w:eastAsia="仿宋" w:cs="仿宋"/>
          <w:b/>
          <w:sz w:val="24"/>
          <w:highlight w:val="none"/>
        </w:rPr>
      </w:pP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hint="eastAsia" w:ascii="仿宋" w:hAnsi="仿宋" w:eastAsia="仿宋" w:cs="仿宋"/>
          <w:sz w:val="24"/>
          <w:highlight w:val="none"/>
        </w:rPr>
      </w:pPr>
    </w:p>
    <w:p>
      <w:pPr>
        <w:spacing w:line="800" w:lineRule="exact"/>
        <w:ind w:firstLine="4337" w:firstLineChars="1800"/>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pageBreakBefore/>
        <w:rPr>
          <w:rFonts w:hint="eastAsia" w:ascii="仿宋" w:hAnsi="仿宋" w:eastAsia="仿宋" w:cs="仿宋"/>
          <w:b/>
          <w:sz w:val="28"/>
          <w:szCs w:val="28"/>
          <w:highlight w:val="none"/>
        </w:rPr>
      </w:pPr>
      <w:r>
        <w:rPr>
          <w:rFonts w:hint="eastAsia" w:ascii="仿宋" w:hAnsi="仿宋" w:eastAsia="仿宋" w:cs="仿宋"/>
          <w:b/>
          <w:sz w:val="30"/>
          <w:szCs w:val="30"/>
          <w:highlight w:val="none"/>
        </w:rPr>
        <w:t>5、与符合性审查有关的资信文件（复印件）</w:t>
      </w:r>
      <w:r>
        <w:rPr>
          <w:rFonts w:hint="eastAsia" w:ascii="仿宋" w:hAnsi="仿宋" w:eastAsia="仿宋" w:cs="仿宋"/>
          <w:b/>
          <w:sz w:val="28"/>
          <w:szCs w:val="28"/>
          <w:highlight w:val="none"/>
        </w:rPr>
        <w:t>（1</w:t>
      </w:r>
      <w:r>
        <w:rPr>
          <w:rFonts w:hint="eastAsia" w:ascii="仿宋" w:hAnsi="仿宋" w:eastAsia="仿宋" w:cs="仿宋"/>
          <w:b/>
          <w:kern w:val="0"/>
          <w:sz w:val="28"/>
          <w:szCs w:val="28"/>
          <w:highlight w:val="none"/>
          <w:lang w:val="zh-CN"/>
        </w:rPr>
        <w:t>.</w:t>
      </w:r>
      <w:r>
        <w:rPr>
          <w:rFonts w:hint="eastAsia" w:ascii="仿宋" w:hAnsi="仿宋" w:eastAsia="仿宋" w:cs="仿宋"/>
          <w:b/>
          <w:sz w:val="28"/>
          <w:szCs w:val="28"/>
          <w:highlight w:val="none"/>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napToGrid w:val="0"/>
        <w:spacing w:line="360" w:lineRule="auto"/>
        <w:ind w:right="480"/>
        <w:jc w:val="center"/>
        <w:rPr>
          <w:rFonts w:hint="eastAsia" w:ascii="仿宋" w:hAnsi="仿宋" w:eastAsia="仿宋" w:cs="仿宋"/>
          <w:b/>
          <w:kern w:val="0"/>
          <w:sz w:val="32"/>
          <w:szCs w:val="32"/>
          <w:highlight w:val="none"/>
          <w:lang w:val="zh-CN"/>
        </w:rPr>
      </w:pPr>
    </w:p>
    <w:p>
      <w:pPr>
        <w:snapToGrid w:val="0"/>
        <w:spacing w:line="360" w:lineRule="auto"/>
        <w:ind w:right="48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6、具有履行合同所必需的设备和专业技术能力的承诺函</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绍兴市中医院、泰宇建筑工程技术咨询有限公司</w:t>
      </w:r>
      <w:r>
        <w:rPr>
          <w:rFonts w:hint="eastAsia" w:ascii="仿宋" w:hAnsi="仿宋" w:eastAsia="仿宋" w:cs="仿宋"/>
          <w:kern w:val="0"/>
          <w:sz w:val="24"/>
          <w:highlight w:val="none"/>
          <w:lang w:val="zh-CN"/>
        </w:rPr>
        <w:t>：</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我方郑重承诺，我方具有履行绍兴市中医院</w:t>
      </w:r>
      <w:r>
        <w:rPr>
          <w:rFonts w:hint="eastAsia" w:ascii="仿宋" w:hAnsi="仿宋" w:eastAsia="仿宋" w:cs="仿宋"/>
          <w:sz w:val="24"/>
          <w:highlight w:val="none"/>
          <w:lang w:eastAsia="zh-CN"/>
        </w:rPr>
        <w:t>处方信息流转及惠民平台信息系统改造服务项目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TYJZ2022074</w:t>
      </w:r>
      <w:r>
        <w:rPr>
          <w:rFonts w:hint="eastAsia" w:ascii="仿宋" w:hAnsi="仿宋" w:eastAsia="仿宋" w:cs="仿宋"/>
          <w:sz w:val="24"/>
          <w:highlight w:val="none"/>
        </w:rPr>
        <w:t>）合同所必需的设备和专业技术能力。如中标，我方将保证合同顺利履行。</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  日</w:t>
      </w:r>
    </w:p>
    <w:p>
      <w:pPr>
        <w:spacing w:line="360" w:lineRule="auto"/>
        <w:jc w:val="center"/>
        <w:rPr>
          <w:rFonts w:hint="eastAsia" w:ascii="仿宋" w:hAnsi="仿宋" w:eastAsia="仿宋" w:cs="仿宋"/>
          <w:b/>
          <w:kern w:val="0"/>
          <w:sz w:val="32"/>
          <w:szCs w:val="32"/>
          <w:highlight w:val="none"/>
        </w:rPr>
      </w:pPr>
    </w:p>
    <w:p>
      <w:pPr>
        <w:spacing w:line="360" w:lineRule="auto"/>
        <w:jc w:val="center"/>
        <w:rPr>
          <w:rFonts w:hint="eastAsia" w:ascii="仿宋" w:hAnsi="仿宋" w:eastAsia="仿宋" w:cs="仿宋"/>
          <w:b/>
          <w:kern w:val="0"/>
          <w:sz w:val="32"/>
          <w:szCs w:val="32"/>
          <w:highlight w:val="none"/>
        </w:rPr>
      </w:pP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rPr>
        <w:t>7、重大违法记录的声明</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绍兴市中医院、泰宇建筑工程技术咨询有限公司</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lang w:val="zh-CN"/>
        </w:rPr>
        <w:t>我公司</w:t>
      </w:r>
      <w:r>
        <w:rPr>
          <w:rFonts w:hint="eastAsia" w:ascii="仿宋" w:hAnsi="仿宋" w:eastAsia="仿宋" w:cs="仿宋"/>
          <w:sz w:val="24"/>
          <w:highlight w:val="none"/>
        </w:rPr>
        <w:t>声明参加本次政府采购活动前三年内未</w:t>
      </w:r>
      <w:r>
        <w:rPr>
          <w:rFonts w:hint="eastAsia" w:ascii="仿宋" w:hAnsi="仿宋" w:eastAsia="仿宋" w:cs="仿宋"/>
          <w:sz w:val="24"/>
          <w:szCs w:val="20"/>
          <w:highlight w:val="none"/>
        </w:rPr>
        <w:t>被列入“黑名单”</w:t>
      </w:r>
      <w:r>
        <w:rPr>
          <w:rFonts w:hint="eastAsia" w:ascii="仿宋" w:hAnsi="仿宋" w:eastAsia="仿宋" w:cs="仿宋"/>
          <w:sz w:val="24"/>
          <w:highlight w:val="none"/>
        </w:rPr>
        <w:t>，在</w:t>
      </w:r>
      <w:r>
        <w:rPr>
          <w:rFonts w:hint="eastAsia" w:ascii="仿宋" w:hAnsi="仿宋" w:eastAsia="仿宋" w:cs="仿宋"/>
          <w:kern w:val="0"/>
          <w:sz w:val="24"/>
          <w:highlight w:val="none"/>
        </w:rPr>
        <w:t>经营活动中</w:t>
      </w:r>
      <w:r>
        <w:rPr>
          <w:rFonts w:hint="eastAsia" w:ascii="仿宋" w:hAnsi="仿宋" w:eastAsia="仿宋" w:cs="仿宋"/>
          <w:sz w:val="24"/>
          <w:highlight w:val="none"/>
        </w:rPr>
        <w:t>没有重大违法记录</w:t>
      </w:r>
      <w:r>
        <w:rPr>
          <w:rFonts w:hint="eastAsia" w:ascii="仿宋" w:hAnsi="仿宋" w:eastAsia="仿宋" w:cs="仿宋"/>
          <w:sz w:val="24"/>
          <w:szCs w:val="20"/>
          <w:highlight w:val="none"/>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napToGrid w:val="0"/>
        <w:spacing w:line="360" w:lineRule="auto"/>
        <w:rPr>
          <w:rFonts w:hint="eastAsia" w:ascii="仿宋" w:hAnsi="仿宋" w:eastAsia="仿宋" w:cs="仿宋"/>
          <w:b/>
          <w:sz w:val="30"/>
          <w:szCs w:val="30"/>
          <w:highlight w:val="none"/>
        </w:rPr>
      </w:pPr>
    </w:p>
    <w:p>
      <w:pPr>
        <w:snapToGrid w:val="0"/>
        <w:spacing w:line="360" w:lineRule="auto"/>
        <w:rPr>
          <w:rFonts w:hint="eastAsia" w:ascii="仿宋" w:hAnsi="仿宋" w:eastAsia="仿宋" w:cs="仿宋"/>
          <w:b/>
          <w:sz w:val="30"/>
          <w:szCs w:val="30"/>
          <w:highlight w:val="none"/>
        </w:rPr>
      </w:pPr>
    </w:p>
    <w:p>
      <w:pPr>
        <w:snapToGrid w:val="0"/>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8、特定资格条件要求的资质文件（复印件）</w:t>
      </w:r>
    </w:p>
    <w:p>
      <w:pPr>
        <w:widowControl/>
        <w:spacing w:line="360" w:lineRule="auto"/>
        <w:ind w:firstLine="480" w:firstLineChars="200"/>
        <w:jc w:val="left"/>
        <w:rPr>
          <w:rFonts w:hint="eastAsia" w:ascii="仿宋" w:hAnsi="仿宋" w:eastAsia="仿宋" w:cs="仿宋"/>
          <w:b/>
          <w:bCs/>
          <w:sz w:val="32"/>
          <w:szCs w:val="32"/>
          <w:highlight w:val="none"/>
        </w:rPr>
      </w:pPr>
      <w:r>
        <w:rPr>
          <w:rFonts w:hint="eastAsia" w:ascii="仿宋" w:hAnsi="仿宋" w:eastAsia="仿宋" w:cs="仿宋"/>
          <w:sz w:val="24"/>
          <w:highlight w:val="none"/>
        </w:rPr>
        <w:t>（由投标人根据招标公告合格的投标人应具备的特定资格要求编制）</w:t>
      </w: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r>
        <w:rPr>
          <w:rFonts w:hint="eastAsia" w:ascii="仿宋" w:hAnsi="仿宋" w:eastAsia="仿宋" w:cs="仿宋"/>
          <w:b/>
          <w:sz w:val="30"/>
          <w:szCs w:val="30"/>
          <w:highlight w:val="none"/>
        </w:rPr>
        <w:t>9、非本地投标人售后服务机构证明材料</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（由非本地投标人根据采购需求及招标文件要求编制）</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10、</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b/>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Style w:val="195"/>
        <w:ind w:firstLine="0"/>
        <w:jc w:val="both"/>
        <w:rPr>
          <w:rFonts w:hint="eastAsia" w:ascii="仿宋" w:hAnsi="仿宋" w:eastAsia="仿宋" w:cs="仿宋"/>
          <w:highlight w:val="none"/>
        </w:rPr>
      </w:pPr>
    </w:p>
    <w:p>
      <w:pPr>
        <w:pStyle w:val="195"/>
        <w:pageBreakBefore/>
        <w:ind w:firstLine="0"/>
        <w:jc w:val="both"/>
        <w:rPr>
          <w:rFonts w:hint="eastAsia" w:ascii="仿宋" w:hAnsi="仿宋" w:eastAsia="仿宋" w:cs="仿宋"/>
          <w:highlight w:val="none"/>
        </w:rPr>
      </w:pPr>
      <w:r>
        <w:rPr>
          <w:rFonts w:hint="eastAsia" w:ascii="仿宋" w:hAnsi="仿宋" w:eastAsia="仿宋" w:cs="仿宋"/>
          <w:highlight w:val="none"/>
        </w:rPr>
        <w:t>11、廉政承诺书</w:t>
      </w:r>
    </w:p>
    <w:p>
      <w:pPr>
        <w:autoSpaceDE w:val="0"/>
        <w:autoSpaceDN w:val="0"/>
        <w:spacing w:line="360" w:lineRule="auto"/>
        <w:ind w:left="2"/>
        <w:jc w:val="left"/>
        <w:rPr>
          <w:rFonts w:hint="eastAsia" w:ascii="仿宋" w:hAnsi="仿宋" w:eastAsia="仿宋" w:cs="仿宋"/>
          <w:kern w:val="0"/>
          <w:sz w:val="24"/>
          <w:highlight w:val="none"/>
          <w:lang w:val="zh-CN"/>
        </w:rPr>
      </w:pPr>
      <w:r>
        <w:rPr>
          <w:rFonts w:hint="eastAsia" w:ascii="仿宋" w:hAnsi="仿宋" w:eastAsia="仿宋" w:cs="仿宋"/>
          <w:sz w:val="24"/>
          <w:highlight w:val="none"/>
        </w:rPr>
        <w:t>绍兴市中医院</w:t>
      </w:r>
      <w:r>
        <w:rPr>
          <w:rFonts w:hint="eastAsia" w:ascii="仿宋" w:hAnsi="仿宋" w:eastAsia="仿宋" w:cs="仿宋"/>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12、技术解决方案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1pt;width:442.8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highlight w:val="none"/>
        </w:rPr>
        <w:object>
          <v:shape id="_x0000_i1026" o:spt="75" type="#_x0000_t75" style="height:42.1pt;width:441.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13、技术偏离说明表</w:t>
      </w:r>
    </w:p>
    <w:p>
      <w:pPr>
        <w:spacing w:line="360" w:lineRule="auto"/>
        <w:rPr>
          <w:rFonts w:hint="eastAsia" w:ascii="仿宋" w:hAnsi="仿宋" w:eastAsia="仿宋" w:cs="仿宋"/>
          <w:b/>
          <w:bCs/>
          <w:sz w:val="32"/>
          <w:szCs w:val="32"/>
          <w:highlight w:val="none"/>
        </w:rPr>
      </w:pPr>
      <w:r>
        <w:rPr>
          <w:rFonts w:hint="eastAsia" w:ascii="仿宋" w:hAnsi="仿宋" w:eastAsia="仿宋" w:cs="仿宋"/>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14、组织实施方案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15、售后服务方案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16、项目小组人员名单</w:t>
      </w:r>
    </w:p>
    <w:p>
      <w:pPr>
        <w:spacing w:line="360" w:lineRule="auto"/>
        <w:rPr>
          <w:rFonts w:hint="eastAsia"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17、</w:t>
      </w:r>
      <w:r>
        <w:rPr>
          <w:rFonts w:hint="eastAsia" w:ascii="仿宋" w:hAnsi="仿宋" w:eastAsia="仿宋" w:cs="仿宋"/>
          <w:b/>
          <w:kern w:val="0"/>
          <w:sz w:val="32"/>
          <w:szCs w:val="32"/>
          <w:highlight w:val="none"/>
          <w:lang w:val="zh-CN"/>
        </w:rPr>
        <w:t>优惠条件及特殊承诺</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sz w:val="18"/>
          <w:szCs w:val="18"/>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b/>
          <w:bCs/>
          <w:sz w:val="18"/>
          <w:szCs w:val="18"/>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18、</w:t>
      </w:r>
      <w:r>
        <w:rPr>
          <w:rFonts w:hint="eastAsia" w:ascii="仿宋" w:hAnsi="仿宋" w:eastAsia="仿宋" w:cs="仿宋"/>
          <w:b/>
          <w:kern w:val="0"/>
          <w:sz w:val="32"/>
          <w:szCs w:val="32"/>
          <w:highlight w:val="none"/>
          <w:lang w:val="zh-CN"/>
        </w:rPr>
        <w:t>备品备件及供选择的配套零部件清单</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napToGrid w:val="0"/>
        <w:spacing w:line="360" w:lineRule="auto"/>
        <w:ind w:right="144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19、</w:t>
      </w:r>
      <w:r>
        <w:rPr>
          <w:rFonts w:hint="eastAsia" w:ascii="仿宋" w:hAnsi="仿宋" w:eastAsia="仿宋" w:cs="仿宋"/>
          <w:b/>
          <w:kern w:val="0"/>
          <w:sz w:val="32"/>
          <w:szCs w:val="32"/>
          <w:highlight w:val="none"/>
          <w:lang w:val="zh-CN"/>
        </w:rPr>
        <w:t>培训计划</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20、验收方案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21、认为需要的</w:t>
      </w:r>
      <w:r>
        <w:rPr>
          <w:rFonts w:hint="eastAsia" w:ascii="仿宋" w:hAnsi="仿宋" w:eastAsia="仿宋" w:cs="仿宋"/>
          <w:b/>
          <w:kern w:val="0"/>
          <w:sz w:val="32"/>
          <w:szCs w:val="32"/>
          <w:highlight w:val="none"/>
          <w:lang w:val="zh-CN"/>
        </w:rPr>
        <w:t>其他商务技术（资信）文件或说明</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22、联合协议</w:t>
      </w:r>
    </w:p>
    <w:p>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napToGrid w:val="0"/>
        <w:spacing w:line="360" w:lineRule="auto"/>
        <w:ind w:right="480"/>
        <w:rPr>
          <w:rFonts w:hint="eastAsia" w:ascii="仿宋" w:hAnsi="仿宋" w:eastAsia="仿宋" w:cs="仿宋"/>
          <w:b/>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23、分包意向协议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snapToGrid w:val="0"/>
        <w:spacing w:line="360" w:lineRule="auto"/>
        <w:ind w:firstLine="576"/>
        <w:rPr>
          <w:rFonts w:hint="eastAsia" w:ascii="仿宋" w:hAnsi="仿宋" w:eastAsia="仿宋" w:cs="仿宋"/>
          <w:highlight w:val="none"/>
        </w:rPr>
      </w:pPr>
      <w:r>
        <w:rPr>
          <w:rFonts w:hint="eastAsia" w:ascii="仿宋" w:hAnsi="仿宋" w:eastAsia="仿宋" w:cs="仿宋"/>
          <w:kern w:val="0"/>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u w:val="single"/>
        </w:rPr>
        <w:t>（分包供应商名称）提供的货物全部由小微企业制造，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24、落实政府采购政策需满足的资格要求</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highlight w:val="none"/>
        </w:rPr>
        <w:t>中小企业声明函</w:t>
      </w:r>
      <w:r>
        <w:rPr>
          <w:rFonts w:hint="eastAsia" w:ascii="仿宋" w:hAnsi="仿宋" w:eastAsia="仿宋" w:cs="仿宋"/>
          <w:sz w:val="24"/>
          <w:highlight w:val="none"/>
        </w:rPr>
        <w:t xml:space="preserve">（附件）。 </w:t>
      </w:r>
    </w:p>
    <w:p>
      <w:pPr>
        <w:widowControl/>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要求以联合体形式参加的，提供联合协议和</w:t>
      </w:r>
      <w:r>
        <w:rPr>
          <w:rFonts w:hint="eastAsia" w:ascii="仿宋" w:hAnsi="仿宋" w:eastAsia="仿宋" w:cs="仿宋"/>
          <w:b/>
          <w:sz w:val="24"/>
          <w:highlight w:val="none"/>
        </w:rPr>
        <w:t>中小企业声明函</w:t>
      </w:r>
      <w:r>
        <w:rPr>
          <w:rFonts w:hint="eastAsia" w:ascii="仿宋" w:hAnsi="仿宋" w:eastAsia="仿宋" w:cs="仿宋"/>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联合协议</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（联合体其中一方成员名称）</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w:t>
      </w: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firstLine="480" w:firstLineChars="200"/>
        <w:rPr>
          <w:rFonts w:hint="eastAsia" w:ascii="仿宋" w:hAnsi="仿宋" w:eastAsia="仿宋" w:cs="仿宋"/>
          <w:sz w:val="24"/>
          <w:highlight w:val="none"/>
        </w:rPr>
      </w:pPr>
    </w:p>
    <w:p>
      <w:pPr>
        <w:spacing w:line="360" w:lineRule="auto"/>
        <w:ind w:firstLine="482" w:firstLineChars="200"/>
        <w:rPr>
          <w:rFonts w:hint="eastAsia" w:ascii="仿宋" w:hAnsi="仿宋" w:eastAsia="仿宋" w:cs="仿宋"/>
          <w:b/>
          <w:sz w:val="24"/>
          <w:highlight w:val="none"/>
        </w:rPr>
      </w:pPr>
    </w:p>
    <w:p>
      <w:pPr>
        <w:spacing w:line="360" w:lineRule="auto"/>
        <w:ind w:firstLine="482" w:firstLineChars="200"/>
        <w:rPr>
          <w:rFonts w:hint="eastAsia" w:ascii="仿宋" w:hAnsi="仿宋" w:eastAsia="仿宋" w:cs="仿宋"/>
          <w:b/>
          <w:sz w:val="24"/>
          <w:highlight w:val="none"/>
        </w:rPr>
      </w:pPr>
    </w:p>
    <w:p>
      <w:pPr>
        <w:spacing w:line="360" w:lineRule="auto"/>
        <w:ind w:firstLine="482" w:firstLineChars="200"/>
        <w:rPr>
          <w:rFonts w:hint="eastAsia" w:ascii="仿宋" w:hAnsi="仿宋" w:eastAsia="仿宋" w:cs="仿宋"/>
          <w:b/>
          <w:sz w:val="24"/>
          <w:highlight w:val="none"/>
        </w:rPr>
      </w:pPr>
    </w:p>
    <w:p>
      <w:pPr>
        <w:pageBreakBefore/>
        <w:spacing w:line="360" w:lineRule="auto"/>
        <w:ind w:firstLine="482" w:firstLineChars="200"/>
        <w:rPr>
          <w:rFonts w:hint="eastAsia" w:ascii="仿宋" w:hAnsi="仿宋" w:eastAsia="仿宋" w:cs="仿宋"/>
          <w:b/>
          <w:kern w:val="0"/>
          <w:sz w:val="32"/>
          <w:szCs w:val="32"/>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要求合同分包的，提供分包意向协议和</w:t>
      </w:r>
      <w:r>
        <w:rPr>
          <w:rFonts w:hint="eastAsia" w:ascii="仿宋" w:hAnsi="仿宋" w:eastAsia="仿宋" w:cs="仿宋"/>
          <w:b/>
          <w:sz w:val="24"/>
          <w:highlight w:val="none"/>
        </w:rPr>
        <w:t>中小企业声明函（附件）</w:t>
      </w:r>
      <w:r>
        <w:rPr>
          <w:rFonts w:hint="eastAsia" w:ascii="仿宋" w:hAnsi="仿宋" w:eastAsia="仿宋" w:cs="仿宋"/>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（某分包供应商名称）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（某分包供</w:t>
      </w:r>
      <w:r>
        <w:rPr>
          <w:rFonts w:hint="eastAsia" w:ascii="仿宋" w:hAnsi="仿宋" w:eastAsia="仿宋" w:cs="仿宋"/>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w:t>
      </w:r>
    </w:p>
    <w:p>
      <w:pPr>
        <w:snapToGrid w:val="0"/>
        <w:spacing w:line="360" w:lineRule="auto"/>
        <w:ind w:firstLine="6000" w:firstLineChars="25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hint="eastAsia" w:ascii="仿宋" w:hAnsi="仿宋" w:eastAsia="仿宋" w:cs="仿宋"/>
          <w:sz w:val="24"/>
          <w:highlight w:val="none"/>
          <w:u w:val="single"/>
        </w:rPr>
      </w:pPr>
    </w:p>
    <w:p>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你方组织的（项目名称）项目【招标编号：（采购编号）】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w:pict>
          <v:rect id="Rectangle 17" o:spid="_x0000_s205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XnCwIAABcEAAAOAAAAZHJzL2Uyb0RvYy54bWysU9uO2yAQfa/Uf0C8N740znatOKtVtqkq&#10;bS/Sth9AMLZRMUMHEmf79R1INptenqrygBgGDmfOHJY3h9GwvUKvwTa8mOWcKSuh1bZv+Ncvm1dv&#10;OPNB2FYYsKrhj8rzm9XLF8vJ1aqEAUyrkBGI9fXkGj6E4Oos83JQo/AzcMpSsgMcRaAQ+6xFMRH6&#10;aLIyzxfZBNg6BKm8p927Y5KvEn7XKRk+dZ1XgZmGE7eQZkzzNs7ZainqHoUbtDzREP/AYhTa0qNn&#10;qDsRBNuh/gNq1BLBQxdmEsYMuk5LlWqgaor8t2oeBuFUqoXE8e4sk/9/sPLj/sF9xkjdu3uQ3zyz&#10;sB6E7dUtIkyDEi09V0Shssn5+nwhBp6usu30AVpqrdgFSBocOhwjIFXHDknqx7PU6hCYpM3yKp/P&#10;FxVnknJlWb1eFFV6Q9RP1x368E7ByOKi4Ui9TPBif+9DpCPqpyOJPhjdbrQxKcB+uzbI9oL6vknj&#10;hO4vjxnLpoZfV2WVkH/J+UuIPI2/QYw6kIGNHqmM8yFRR93e2jbZKwhtjmuibOxJyKhdtKmvt9A+&#10;ko4IR3fSb6LFAPiDs4mc2XD/fSdQcWbeW+rFdTGfRyunYF5dlRTgZWZ7mRFWElTDA2fH5Toc7b9z&#10;qPuBXipS7RZuqX+dTso+szqRJfclwU8/Jdr7Mk6nnv/z6icAAAD//wMAUEsDBBQABgAIAAAAIQAE&#10;Lg5z4AAAAAoBAAAPAAAAZHJzL2Rvd25yZXYueG1sTI/NTsMwEITvSLyDtUjcqO0CTQlxKn7EBVWp&#10;CFXPbmwSi3gdxW4b3p7tCY6jGc18U6wm37OjHaMLqEDOBDCLTTAOWwXbz7ebJbCYNBrdB7QKfmyE&#10;VXl5UejchBN+2GOdWkYlGHOtoEtpyDmPTWe9jrMwWCTvK4xeJ5Jjy82oT1Tuez4XYsG9dkgLnR7s&#10;S2eb7/rgFewGFHJdDamq3+eb9fPG7V4rp9T11fT0CCzZKf2F4YxP6FAS0z4c0ETWK7jLMkJPCu4X&#10;EhgFHsRtBmxPjpQCeFnw/xfKXwAAAP//AwBQSwECLQAUAAYACAAAACEAtoM4kv4AAADhAQAAEwAA&#10;AAAAAAAAAAAAAAAAAAAAW0NvbnRlbnRfVHlwZXNdLnhtbFBLAQItABQABgAIAAAAIQA4/SH/1gAA&#10;AJQBAAALAAAAAAAAAAAAAAAAAC8BAABfcmVscy8ucmVsc1BLAQItABQABgAIAAAAIQBRcMXnCwIA&#10;ABcEAAAOAAAAAAAAAAAAAAAAAC4CAABkcnMvZTJvRG9jLnhtbFBLAQItABQABgAIAAAAIQAELg5z&#10;4AAAAAoBAAAPAAAAAAAAAAAAAAAAAGUEAABkcnMvZG93bnJldi54bWxQSwUGAAAAAAQABADzAAAA&#10;cgUAAAAA&#10;">
            <v:path/>
            <v:fill focussize="0,0"/>
            <v:stroke miterlimit="2"/>
            <v:imagedata o:title=""/>
            <o:lock v:ext="edit"/>
          </v:rect>
        </w:pict>
      </w:r>
      <w:r>
        <w:rPr>
          <w:rFonts w:hint="eastAsia" w:ascii="仿宋" w:hAnsi="仿宋" w:eastAsia="仿宋" w:cs="仿宋"/>
          <w:b/>
          <w:bCs/>
          <w:sz w:val="24"/>
          <w:highlight w:val="none"/>
        </w:rPr>
        <w:pict>
          <v:rect id="Rectangle 16" o:spid="_x0000_s2051"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w3CgIAABcEAAAOAAAAZHJzL2Uyb0RvYy54bWysU9uO2yAQfa/Uf0C8N47dONtYcVarbFNV&#10;2l6kbT+AYGyjYoYOJE769R1INptenqrygBgGDmfOHJa3h8GwvUKvwdY8n0w5U1ZCo21X869fNq/e&#10;cOaDsI0wYFXNj8rz29XLF8vRVaqAHkyjkBGI9dXoat6H4Kos87JXg/ATcMpSsgUcRKAQu6xBMRL6&#10;YLJiOp1nI2DjEKTynnbvT0m+Svhtq2T41LZeBWZqTtxCmjHN2zhnq6WoOhSu1/JMQ/wDi0FoS49e&#10;oO5FEGyH+g+oQUsED22YSBgyaFstVaqBqsmnv1Xz2AunUi0kjncXmfz/g5Uf94/uM0bq3j2A/OaZ&#10;hXUvbKfuEGHslWjouTwKlY3OV5cLMfB0lW3HD9BQa8UuQNLg0OIQAak6dkhSHy9Sq0NgkjaL+exm&#10;UVJHJOWKonw9z8v0hqierjv04Z2CgcVFzZF6meDF/sGHSEdUT0cSfTC62WhjUoDddm2Q7QX1fZPG&#10;Gd1fHzOWjTVflEWZkH/J+WuIaRp/gxh0IAMbPVAZl0Oiirq9tU2yVxDanNZE2dizkFG7aFNfbaE5&#10;ko4IJ3fSb6JFD/iDs5GcWXP/fSdQcWbeW+rFIp/NopVTMCtvCgrwOrO9zggrCarmgbPTch1O9t85&#10;1F1PL+Wpdgt31L9WJ2WfWZ3JkvuS4OefEu19HadTz/959RMAAP//AwBQSwMEFAAGAAgAAAAhAOgy&#10;RurfAAAACgEAAA8AAABkcnMvZG93bnJldi54bWxMj8tOwzAQRfdI/IM1SOxaO1EaoRCn4iE2qEpF&#10;QF27sUks4rEVu234e4YV7O5oju6cqbeLm9jZzNF6lJCtBTCDvdcWBwkf7y+rO2AxKdRq8mgkfJsI&#10;2+b6qlaV9hd8M+cuDYxKMFZKwphSqDiP/WicimsfDNLu089OJRrngetZXajcTTwXouROWaQLowrm&#10;aTT9V3dyEg4BRbZrQ2q713y/e9zbw3Nrpby9WR7ugSWzpD8YfvVJHRpyOvoT6sgmCausKAiVUIoS&#10;GAGFyCkcKWSbDfCm5v9faH4AAAD//wMAUEsBAi0AFAAGAAgAAAAhALaDOJL+AAAA4QEAABMAAAAA&#10;AAAAAAAAAAAAAAAAAFtDb250ZW50X1R5cGVzXS54bWxQSwECLQAUAAYACAAAACEAOP0h/9YAAACU&#10;AQAACwAAAAAAAAAAAAAAAAAvAQAAX3JlbHMvLnJlbHNQSwECLQAUAAYACAAAACEAIB4MNwoCAAAX&#10;BAAADgAAAAAAAAAAAAAAAAAuAgAAZHJzL2Uyb0RvYy54bWxQSwECLQAUAAYACAAAACEA6DJG6t8A&#10;AAAKAQAADwAAAAAAAAAAAAAAAABkBAAAZHJzL2Rvd25yZXYueG1sUEsFBgAAAAAEAAQA8wAAAHAF&#10;AAAAAA==&#10;">
            <v:path/>
            <v:fill focussize="0,0"/>
            <v:stroke miterlimit="2"/>
            <v:imagedata o:title=""/>
            <o:lock v:ext="edit"/>
          </v:rect>
        </w:pict>
      </w:r>
      <w:r>
        <w:rPr>
          <w:rFonts w:hint="eastAsia" w:ascii="仿宋" w:hAnsi="仿宋" w:eastAsia="仿宋" w:cs="仿宋"/>
          <w:sz w:val="24"/>
          <w:highlight w:val="none"/>
        </w:rPr>
        <w:t>投标单位法定名称章（印模）                投标单位“XX专用章”（印模）</w:t>
      </w: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jc w:val="center"/>
        <w:rPr>
          <w:rFonts w:hint="eastAsia" w:ascii="仿宋" w:hAnsi="仿宋" w:eastAsia="仿宋" w:cs="仿宋"/>
          <w:b/>
          <w:bCs/>
          <w:sz w:val="44"/>
          <w:szCs w:val="44"/>
          <w:highlight w:val="none"/>
        </w:rPr>
      </w:pPr>
    </w:p>
    <w:p>
      <w:pPr>
        <w:pageBreakBefore/>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w:t>
      </w:r>
    </w:p>
    <w:p>
      <w:pPr>
        <w:rPr>
          <w:rFonts w:hint="eastAsia" w:ascii="仿宋" w:hAnsi="仿宋" w:eastAsia="仿宋" w:cs="仿宋"/>
          <w:b/>
          <w:sz w:val="32"/>
          <w:szCs w:val="32"/>
          <w:highlight w:val="none"/>
        </w:rPr>
      </w:pPr>
      <w:r>
        <w:rPr>
          <w:rFonts w:hint="eastAsia" w:ascii="仿宋" w:hAnsi="仿宋" w:eastAsia="仿宋" w:cs="仿宋"/>
          <w:b/>
          <w:sz w:val="24"/>
          <w:highlight w:val="none"/>
        </w:rPr>
        <w:t xml:space="preserve"> [为落实政府采购政策，符合</w:t>
      </w:r>
      <w:bookmarkStart w:id="195" w:name="_Hlk96960687"/>
      <w:r>
        <w:rPr>
          <w:rFonts w:hint="eastAsia" w:ascii="仿宋" w:hAnsi="仿宋" w:eastAsia="仿宋" w:cs="仿宋"/>
          <w:b/>
          <w:sz w:val="24"/>
          <w:highlight w:val="none"/>
        </w:rPr>
        <w:t>《政府采购促进中小企业发展管理办法》</w:t>
      </w:r>
      <w:bookmarkEnd w:id="195"/>
      <w:r>
        <w:rPr>
          <w:rFonts w:hint="eastAsia" w:ascii="仿宋" w:hAnsi="仿宋" w:eastAsia="仿宋" w:cs="仿宋"/>
          <w:b/>
          <w:sz w:val="24"/>
          <w:highlight w:val="none"/>
        </w:rPr>
        <w:t>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hint="eastAsia" w:ascii="仿宋" w:hAnsi="仿宋" w:eastAsia="仿宋" w:cs="仿宋"/>
          <w:b/>
          <w:sz w:val="18"/>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rPr>
          <w:rFonts w:hint="eastAsia" w:ascii="仿宋" w:hAnsi="仿宋" w:eastAsia="仿宋" w:cs="仿宋"/>
          <w:b/>
          <w:sz w:val="24"/>
          <w:highlight w:val="none"/>
        </w:rPr>
      </w:pPr>
      <w:r>
        <w:rPr>
          <w:rFonts w:hint="eastAsia" w:ascii="仿宋" w:hAnsi="仿宋" w:eastAsia="仿宋" w:cs="仿宋"/>
          <w:b/>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highlight w:val="none"/>
        </w:rPr>
      </w:pPr>
      <w:r>
        <w:rPr>
          <w:rFonts w:hint="eastAsia" w:ascii="仿宋" w:hAnsi="仿宋" w:eastAsia="仿宋" w:cs="仿宋"/>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sz w:val="24"/>
          <w:highlight w:val="none"/>
          <w:u w:val="single"/>
        </w:rPr>
        <w:t xml:space="preserve"> xxx </w:t>
      </w:r>
      <w:r>
        <w:rPr>
          <w:rFonts w:hint="eastAsia" w:ascii="仿宋" w:hAnsi="仿宋" w:eastAsia="仿宋" w:cs="仿宋"/>
          <w:sz w:val="24"/>
          <w:highlight w:val="none"/>
        </w:rPr>
        <w:t>的</w:t>
      </w:r>
      <w:r>
        <w:rPr>
          <w:rFonts w:hint="eastAsia" w:ascii="仿宋" w:hAnsi="仿宋" w:eastAsia="仿宋" w:cs="仿宋"/>
          <w:sz w:val="24"/>
          <w:highlight w:val="none"/>
          <w:u w:val="single"/>
        </w:rPr>
        <w:t>xxx项目</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（采购文件中明确的所属行业）行业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（企业名称）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b/>
          <w:sz w:val="24"/>
          <w:highlight w:val="none"/>
        </w:rPr>
      </w:pPr>
      <w:r>
        <w:rPr>
          <w:rFonts w:hint="eastAsia" w:ascii="仿宋" w:hAnsi="仿宋" w:eastAsia="仿宋" w:cs="仿宋"/>
          <w:b/>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highlight w:val="none"/>
        </w:rPr>
        <w:t>如国家颁布新的企业划型标准，则按最新标准执行。</w:t>
      </w:r>
      <w:r>
        <w:rPr>
          <w:rFonts w:hint="eastAsia" w:ascii="仿宋" w:hAnsi="仿宋" w:eastAsia="仿宋" w:cs="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highlight w:val="none"/>
        </w:rPr>
      </w:pPr>
      <w:r>
        <w:rPr>
          <w:rFonts w:hint="eastAsia" w:ascii="仿宋" w:hAnsi="仿宋" w:eastAsia="仿宋" w:cs="仿宋"/>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highlight w:val="none"/>
        </w:rPr>
      </w:pPr>
    </w:p>
    <w:p>
      <w:pPr>
        <w:pageBreakBefore/>
        <w:spacing w:line="588" w:lineRule="exact"/>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声明单位（盖章）： </w:t>
      </w:r>
    </w:p>
    <w:p>
      <w:pPr>
        <w:ind w:right="420" w:firstLine="5520" w:firstLineChars="2300"/>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rPr>
          <w:rFonts w:hint="eastAsia" w:ascii="仿宋" w:hAnsi="仿宋" w:eastAsia="仿宋" w:cs="仿宋"/>
          <w:highlight w:val="none"/>
        </w:rPr>
      </w:pPr>
    </w:p>
    <w:p>
      <w:pPr>
        <w:tabs>
          <w:tab w:val="left" w:pos="4860"/>
        </w:tabs>
        <w:ind w:right="1559"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object>
          <v:shape id="_x0000_i1027" o:spt="75" type="#_x0000_t75" style="height:42.1pt;width:389.9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40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 w:hAnsi="仿宋" w:eastAsia="仿宋" w:cs="仿宋"/>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一、质疑供应商基本信息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质疑供应商：</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jc w:val="center"/>
        <w:rPr>
          <w:rFonts w:hint="eastAsia" w:ascii="仿宋" w:hAnsi="仿宋" w:eastAsia="仿宋" w:cs="仿宋"/>
          <w:b/>
          <w:bCs/>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2.质疑供应商若委托代理人进行质疑的，质疑函应按要求列明“授权代表”的有关内容，并在附件中提交由质疑</w:t>
      </w:r>
      <w:r>
        <w:rPr>
          <w:rFonts w:hint="eastAsia" w:ascii="仿宋" w:hAnsi="仿宋" w:eastAsia="仿宋" w:cs="仿宋"/>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w:t>
      </w: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pStyle w:val="2"/>
        <w:rPr>
          <w:rFonts w:hint="eastAsia" w:ascii="仿宋" w:hAnsi="仿宋" w:eastAsia="仿宋" w:cs="仿宋"/>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pStyle w:val="2"/>
        <w:rPr>
          <w:rFonts w:hint="eastAsia" w:ascii="仿宋" w:hAnsi="仿宋" w:eastAsia="仿宋" w:cs="仿宋"/>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pStyle w:val="2"/>
        <w:rPr>
          <w:rFonts w:hint="eastAsia" w:ascii="仿宋" w:hAnsi="仿宋" w:eastAsia="仿宋" w:cs="仿宋"/>
          <w:highlight w:val="none"/>
        </w:rPr>
      </w:pPr>
    </w:p>
    <w:p>
      <w:pPr>
        <w:pStyle w:val="2"/>
        <w:rPr>
          <w:rFonts w:hint="eastAsia" w:ascii="仿宋" w:hAnsi="仿宋" w:eastAsia="仿宋" w:cs="仿宋"/>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rPr>
          <w:rFonts w:hint="eastAsia" w:ascii="仿宋" w:hAnsi="仿宋" w:eastAsia="仿宋" w:cs="仿宋"/>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98BDE2"/>
    <w:multiLevelType w:val="singleLevel"/>
    <w:tmpl w:val="D698BDE2"/>
    <w:lvl w:ilvl="0" w:tentative="0">
      <w:start w:val="1"/>
      <w:numFmt w:val="decimal"/>
      <w:lvlText w:val="%1."/>
      <w:lvlJc w:val="left"/>
      <w:pPr>
        <w:ind w:left="425" w:hanging="425"/>
      </w:pPr>
      <w:rPr>
        <w:rFonts w:hint="default"/>
      </w:r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D1F7FDB"/>
    <w:multiLevelType w:val="multilevel"/>
    <w:tmpl w:val="3D1F7FD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02AD"/>
    <w:rsid w:val="00074373"/>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23848"/>
    <w:rsid w:val="00223A5B"/>
    <w:rsid w:val="00224A52"/>
    <w:rsid w:val="002261D7"/>
    <w:rsid w:val="002266CD"/>
    <w:rsid w:val="0022698F"/>
    <w:rsid w:val="00230A8D"/>
    <w:rsid w:val="00231CB7"/>
    <w:rsid w:val="00233356"/>
    <w:rsid w:val="00235AC1"/>
    <w:rsid w:val="002362A5"/>
    <w:rsid w:val="0023638E"/>
    <w:rsid w:val="00240411"/>
    <w:rsid w:val="00243D9A"/>
    <w:rsid w:val="002442F3"/>
    <w:rsid w:val="00244766"/>
    <w:rsid w:val="00247AB8"/>
    <w:rsid w:val="00251888"/>
    <w:rsid w:val="0025660E"/>
    <w:rsid w:val="00256A92"/>
    <w:rsid w:val="0025749B"/>
    <w:rsid w:val="002608A0"/>
    <w:rsid w:val="00260A0D"/>
    <w:rsid w:val="00261168"/>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C6BC5"/>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035"/>
    <w:rsid w:val="003302F0"/>
    <w:rsid w:val="00332DA4"/>
    <w:rsid w:val="00334D83"/>
    <w:rsid w:val="00335A61"/>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4FFA"/>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C70"/>
    <w:rsid w:val="0042557D"/>
    <w:rsid w:val="00426003"/>
    <w:rsid w:val="00432C68"/>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C61"/>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5774"/>
    <w:rsid w:val="004F69CA"/>
    <w:rsid w:val="004F7507"/>
    <w:rsid w:val="004F7995"/>
    <w:rsid w:val="00503D74"/>
    <w:rsid w:val="005041C0"/>
    <w:rsid w:val="005049EA"/>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96B5B"/>
    <w:rsid w:val="005A3003"/>
    <w:rsid w:val="005A32FB"/>
    <w:rsid w:val="005A3E6E"/>
    <w:rsid w:val="005A7A4A"/>
    <w:rsid w:val="005B180C"/>
    <w:rsid w:val="005B243A"/>
    <w:rsid w:val="005B46B5"/>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4A3"/>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5C2"/>
    <w:rsid w:val="006A3D9E"/>
    <w:rsid w:val="006A4F05"/>
    <w:rsid w:val="006A69A8"/>
    <w:rsid w:val="006B183A"/>
    <w:rsid w:val="006B1A97"/>
    <w:rsid w:val="006B4F54"/>
    <w:rsid w:val="006B6B67"/>
    <w:rsid w:val="006C002F"/>
    <w:rsid w:val="006C02F5"/>
    <w:rsid w:val="006C5FEF"/>
    <w:rsid w:val="006C7EB3"/>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42D"/>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2850"/>
    <w:rsid w:val="00896BE8"/>
    <w:rsid w:val="00896ED5"/>
    <w:rsid w:val="008A037C"/>
    <w:rsid w:val="008A17D1"/>
    <w:rsid w:val="008A251A"/>
    <w:rsid w:val="008A5161"/>
    <w:rsid w:val="008A6135"/>
    <w:rsid w:val="008A64AD"/>
    <w:rsid w:val="008A7376"/>
    <w:rsid w:val="008B3818"/>
    <w:rsid w:val="008B43D4"/>
    <w:rsid w:val="008B470F"/>
    <w:rsid w:val="008B6655"/>
    <w:rsid w:val="008C3401"/>
    <w:rsid w:val="008C4226"/>
    <w:rsid w:val="008C4325"/>
    <w:rsid w:val="008C4B7C"/>
    <w:rsid w:val="008C4E5B"/>
    <w:rsid w:val="008C764A"/>
    <w:rsid w:val="008D18D9"/>
    <w:rsid w:val="008D4AB1"/>
    <w:rsid w:val="008D5C54"/>
    <w:rsid w:val="008D7471"/>
    <w:rsid w:val="008D7B31"/>
    <w:rsid w:val="008E19EE"/>
    <w:rsid w:val="008E1A0D"/>
    <w:rsid w:val="008E316D"/>
    <w:rsid w:val="008E4B80"/>
    <w:rsid w:val="008E6364"/>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5F05"/>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3ED"/>
    <w:rsid w:val="00AD0DBF"/>
    <w:rsid w:val="00AD6ACB"/>
    <w:rsid w:val="00AE1B40"/>
    <w:rsid w:val="00AE2ED6"/>
    <w:rsid w:val="00AF039F"/>
    <w:rsid w:val="00AF4A99"/>
    <w:rsid w:val="00AF4AF3"/>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17A6C"/>
    <w:rsid w:val="00C2059D"/>
    <w:rsid w:val="00C20DC8"/>
    <w:rsid w:val="00C23661"/>
    <w:rsid w:val="00C2561D"/>
    <w:rsid w:val="00C300F2"/>
    <w:rsid w:val="00C31EB2"/>
    <w:rsid w:val="00C320DF"/>
    <w:rsid w:val="00C329C3"/>
    <w:rsid w:val="00C34C64"/>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754BA"/>
    <w:rsid w:val="00C806EB"/>
    <w:rsid w:val="00C826A0"/>
    <w:rsid w:val="00C83068"/>
    <w:rsid w:val="00C83429"/>
    <w:rsid w:val="00C8410F"/>
    <w:rsid w:val="00C85A01"/>
    <w:rsid w:val="00C8637A"/>
    <w:rsid w:val="00C870A4"/>
    <w:rsid w:val="00C87C97"/>
    <w:rsid w:val="00C90ECA"/>
    <w:rsid w:val="00C92B25"/>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ACC"/>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B776D"/>
    <w:rsid w:val="00DC10A7"/>
    <w:rsid w:val="00DC168D"/>
    <w:rsid w:val="00DC33B6"/>
    <w:rsid w:val="00DC63F9"/>
    <w:rsid w:val="00DD29D3"/>
    <w:rsid w:val="00DD4B24"/>
    <w:rsid w:val="00DD5651"/>
    <w:rsid w:val="00DD6196"/>
    <w:rsid w:val="00DE0E2E"/>
    <w:rsid w:val="00DE12F4"/>
    <w:rsid w:val="00DE1DFC"/>
    <w:rsid w:val="00DE208C"/>
    <w:rsid w:val="00DE4584"/>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51C1B"/>
    <w:rsid w:val="00E52A06"/>
    <w:rsid w:val="00E52E4C"/>
    <w:rsid w:val="00E56E61"/>
    <w:rsid w:val="00E57296"/>
    <w:rsid w:val="00E62041"/>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47BF"/>
    <w:rsid w:val="00EC57BD"/>
    <w:rsid w:val="00EC74CE"/>
    <w:rsid w:val="00EC7697"/>
    <w:rsid w:val="00EC77D6"/>
    <w:rsid w:val="00EC7AA0"/>
    <w:rsid w:val="00ED1F25"/>
    <w:rsid w:val="00ED23E5"/>
    <w:rsid w:val="00ED3A71"/>
    <w:rsid w:val="00ED448F"/>
    <w:rsid w:val="00ED758C"/>
    <w:rsid w:val="00EE06ED"/>
    <w:rsid w:val="00EE232E"/>
    <w:rsid w:val="00EE4212"/>
    <w:rsid w:val="00EE54FE"/>
    <w:rsid w:val="00EE55D8"/>
    <w:rsid w:val="00EE5E15"/>
    <w:rsid w:val="00EF1A94"/>
    <w:rsid w:val="00EF20FA"/>
    <w:rsid w:val="00EF4168"/>
    <w:rsid w:val="00EF52D6"/>
    <w:rsid w:val="00EF7E5B"/>
    <w:rsid w:val="00F00B43"/>
    <w:rsid w:val="00F0162F"/>
    <w:rsid w:val="00F01C96"/>
    <w:rsid w:val="00F0661F"/>
    <w:rsid w:val="00F11AA9"/>
    <w:rsid w:val="00F12CBB"/>
    <w:rsid w:val="00F1355C"/>
    <w:rsid w:val="00F21C57"/>
    <w:rsid w:val="00F226E8"/>
    <w:rsid w:val="00F2566F"/>
    <w:rsid w:val="00F30E51"/>
    <w:rsid w:val="00F31980"/>
    <w:rsid w:val="00F31AD0"/>
    <w:rsid w:val="00F33527"/>
    <w:rsid w:val="00F3506F"/>
    <w:rsid w:val="00F35DF7"/>
    <w:rsid w:val="00F37F36"/>
    <w:rsid w:val="00F41632"/>
    <w:rsid w:val="00F42267"/>
    <w:rsid w:val="00F43CE8"/>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1781"/>
    <w:rsid w:val="00F825E8"/>
    <w:rsid w:val="00F82E38"/>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20E6EAF"/>
    <w:rsid w:val="051C3007"/>
    <w:rsid w:val="06A43CE5"/>
    <w:rsid w:val="0BE7384C"/>
    <w:rsid w:val="0E3177FA"/>
    <w:rsid w:val="11A437DA"/>
    <w:rsid w:val="12E35DEC"/>
    <w:rsid w:val="139C0546"/>
    <w:rsid w:val="14315C8A"/>
    <w:rsid w:val="163B5992"/>
    <w:rsid w:val="173268F0"/>
    <w:rsid w:val="1A1A126D"/>
    <w:rsid w:val="1BEB670A"/>
    <w:rsid w:val="1D4B508F"/>
    <w:rsid w:val="1D836C66"/>
    <w:rsid w:val="24F25FD5"/>
    <w:rsid w:val="26906C30"/>
    <w:rsid w:val="271D0F9E"/>
    <w:rsid w:val="28035D95"/>
    <w:rsid w:val="290112FB"/>
    <w:rsid w:val="2D362D8F"/>
    <w:rsid w:val="2DF27B27"/>
    <w:rsid w:val="30304946"/>
    <w:rsid w:val="30D916C0"/>
    <w:rsid w:val="31AB221D"/>
    <w:rsid w:val="33D259F6"/>
    <w:rsid w:val="34804F88"/>
    <w:rsid w:val="353254A0"/>
    <w:rsid w:val="38C65366"/>
    <w:rsid w:val="38F10753"/>
    <w:rsid w:val="3F94530D"/>
    <w:rsid w:val="400C6B9D"/>
    <w:rsid w:val="413B09C3"/>
    <w:rsid w:val="41952301"/>
    <w:rsid w:val="445B00DD"/>
    <w:rsid w:val="4578199F"/>
    <w:rsid w:val="47642AAA"/>
    <w:rsid w:val="49355BCD"/>
    <w:rsid w:val="4A590F64"/>
    <w:rsid w:val="4AA85487"/>
    <w:rsid w:val="4B2D2BAA"/>
    <w:rsid w:val="4CA232CD"/>
    <w:rsid w:val="4CFC3B0D"/>
    <w:rsid w:val="4ED2025D"/>
    <w:rsid w:val="4F86410F"/>
    <w:rsid w:val="4FEB1EA0"/>
    <w:rsid w:val="514D4ECD"/>
    <w:rsid w:val="54211F4A"/>
    <w:rsid w:val="576739FF"/>
    <w:rsid w:val="594037A8"/>
    <w:rsid w:val="59460CED"/>
    <w:rsid w:val="5AC5122C"/>
    <w:rsid w:val="5CF31333"/>
    <w:rsid w:val="5FDF4ACD"/>
    <w:rsid w:val="60596455"/>
    <w:rsid w:val="61537659"/>
    <w:rsid w:val="62A11768"/>
    <w:rsid w:val="62B057FC"/>
    <w:rsid w:val="632F08CA"/>
    <w:rsid w:val="652D1370"/>
    <w:rsid w:val="66513E75"/>
    <w:rsid w:val="67167A87"/>
    <w:rsid w:val="67733401"/>
    <w:rsid w:val="67F23A74"/>
    <w:rsid w:val="68045006"/>
    <w:rsid w:val="68FB7B8C"/>
    <w:rsid w:val="6B67742A"/>
    <w:rsid w:val="6DD77E7C"/>
    <w:rsid w:val="72715BFC"/>
    <w:rsid w:val="72E87C49"/>
    <w:rsid w:val="74060744"/>
    <w:rsid w:val="75432727"/>
    <w:rsid w:val="7DFBB8BB"/>
    <w:rsid w:val="7E7B0947"/>
    <w:rsid w:val="7F1B4F8A"/>
    <w:rsid w:val="7F777168"/>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6">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qFormat/>
    <w:uiPriority w:val="0"/>
    <w:pPr>
      <w:ind w:left="420" w:leftChars="200"/>
    </w:pPr>
    <w:rPr>
      <w:rFonts w:ascii="Calibri" w:hAnsi="Calibri"/>
      <w:szCs w:val="22"/>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1"/>
    <w:qFormat/>
    <w:uiPriority w:val="0"/>
    <w:pPr>
      <w:spacing w:line="360" w:lineRule="auto"/>
      <w:jc w:val="center"/>
    </w:pPr>
    <w:rPr>
      <w:rFonts w:ascii="Calibri" w:hAnsi="Calibri"/>
      <w:sz w:val="20"/>
      <w:szCs w:val="20"/>
    </w:rPr>
  </w:style>
  <w:style w:type="paragraph" w:styleId="17">
    <w:name w:val="Document Map"/>
    <w:basedOn w:val="1"/>
    <w:link w:val="120"/>
    <w:semiHidden/>
    <w:qFormat/>
    <w:uiPriority w:val="0"/>
    <w:pPr>
      <w:shd w:val="clear" w:color="auto" w:fill="000080"/>
    </w:pPr>
  </w:style>
  <w:style w:type="paragraph" w:styleId="18">
    <w:name w:val="annotation text"/>
    <w:basedOn w:val="1"/>
    <w:link w:val="72"/>
    <w:qFormat/>
    <w:uiPriority w:val="0"/>
    <w:pPr>
      <w:jc w:val="left"/>
    </w:pPr>
  </w:style>
  <w:style w:type="paragraph" w:styleId="19">
    <w:name w:val="Body Text"/>
    <w:basedOn w:val="1"/>
    <w:link w:val="85"/>
    <w:qFormat/>
    <w:uiPriority w:val="0"/>
    <w:pPr>
      <w:spacing w:line="360" w:lineRule="auto"/>
    </w:pPr>
    <w:rPr>
      <w:rFonts w:eastAsia="仿宋_GB2312"/>
      <w:sz w:val="28"/>
    </w:rPr>
  </w:style>
  <w:style w:type="paragraph" w:styleId="20">
    <w:name w:val="Body Text Indent"/>
    <w:basedOn w:val="1"/>
    <w:link w:val="66"/>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9"/>
    <w:semiHidden/>
    <w:qFormat/>
    <w:uiPriority w:val="0"/>
    <w:rPr>
      <w:sz w:val="18"/>
      <w:szCs w:val="18"/>
    </w:rPr>
  </w:style>
  <w:style w:type="paragraph" w:styleId="28">
    <w:name w:val="footer"/>
    <w:basedOn w:val="1"/>
    <w:link w:val="69"/>
    <w:qFormat/>
    <w:uiPriority w:val="99"/>
    <w:pPr>
      <w:tabs>
        <w:tab w:val="center" w:pos="4153"/>
        <w:tab w:val="right" w:pos="8306"/>
      </w:tabs>
      <w:snapToGrid w:val="0"/>
      <w:jc w:val="left"/>
    </w:pPr>
    <w:rPr>
      <w:sz w:val="18"/>
      <w:szCs w:val="18"/>
    </w:rPr>
  </w:style>
  <w:style w:type="paragraph" w:styleId="29">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2"/>
    <w:semiHidden/>
    <w:qFormat/>
    <w:uiPriority w:val="0"/>
    <w:pPr>
      <w:widowControl/>
      <w:spacing w:afterLines="50"/>
    </w:pPr>
    <w:rPr>
      <w:b/>
      <w:bCs/>
      <w:kern w:val="0"/>
      <w:sz w:val="24"/>
      <w:szCs w:val="20"/>
    </w:rPr>
  </w:style>
  <w:style w:type="paragraph" w:styleId="42">
    <w:name w:val="Body Text First Indent"/>
    <w:basedOn w:val="19"/>
    <w:link w:val="203"/>
    <w:qFormat/>
    <w:uiPriority w:val="0"/>
    <w:pPr>
      <w:spacing w:after="120" w:line="240" w:lineRule="auto"/>
      <w:ind w:firstLine="420" w:firstLineChars="100"/>
    </w:pPr>
    <w:rPr>
      <w:rFonts w:eastAsia="宋体"/>
      <w:sz w:val="21"/>
    </w:rPr>
  </w:style>
  <w:style w:type="paragraph" w:styleId="43">
    <w:name w:val="Body Text First Indent 2"/>
    <w:basedOn w:val="20"/>
    <w:link w:val="204"/>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6"/>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5"/>
    <w:qFormat/>
    <w:uiPriority w:val="0"/>
    <w:rPr>
      <w:rFonts w:eastAsia="仿宋_GB2312"/>
      <w:b/>
      <w:kern w:val="2"/>
      <w:sz w:val="32"/>
      <w:lang w:val="en-US" w:eastAsia="zh-CN" w:bidi="ar-SA"/>
    </w:rPr>
  </w:style>
  <w:style w:type="character" w:customStyle="1" w:styleId="58">
    <w:name w:val="标题 4 Char1"/>
    <w:link w:val="7"/>
    <w:qFormat/>
    <w:uiPriority w:val="0"/>
    <w:rPr>
      <w:rFonts w:ascii="Arial" w:hAnsi="Arial" w:eastAsia="黑体"/>
      <w:b/>
      <w:kern w:val="2"/>
      <w:sz w:val="28"/>
      <w:lang w:val="en-US" w:eastAsia="zh-CN" w:bidi="ar-SA"/>
    </w:rPr>
  </w:style>
  <w:style w:type="character" w:customStyle="1" w:styleId="59">
    <w:name w:val="标题 5 Char1"/>
    <w:link w:val="8"/>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20"/>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29"/>
    <w:qFormat/>
    <w:uiPriority w:val="0"/>
    <w:rPr>
      <w:rFonts w:eastAsia="宋体"/>
      <w:kern w:val="2"/>
      <w:sz w:val="18"/>
      <w:szCs w:val="18"/>
      <w:lang w:val="en-US" w:eastAsia="zh-CN" w:bidi="ar-SA"/>
    </w:rPr>
  </w:style>
  <w:style w:type="character" w:customStyle="1" w:styleId="69">
    <w:name w:val="页脚 Char"/>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8"/>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9"/>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7"/>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7"/>
    <w:qFormat/>
    <w:uiPriority w:val="0"/>
    <w:rPr>
      <w:rFonts w:ascii="Tahoma" w:hAnsi="Tahoma"/>
      <w:sz w:val="24"/>
    </w:rPr>
  </w:style>
  <w:style w:type="paragraph" w:customStyle="1" w:styleId="140">
    <w:name w:val="Char Char Char"/>
    <w:basedOn w:val="17"/>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6"/>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5"/>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6"/>
    <w:link w:val="27"/>
    <w:semiHidden/>
    <w:qFormat/>
    <w:uiPriority w:val="0"/>
    <w:rPr>
      <w:kern w:val="2"/>
      <w:sz w:val="18"/>
      <w:szCs w:val="18"/>
    </w:rPr>
  </w:style>
  <w:style w:type="character" w:customStyle="1" w:styleId="200">
    <w:name w:val="正文文本缩进 3 Char"/>
    <w:basedOn w:val="46"/>
    <w:link w:val="33"/>
    <w:qFormat/>
    <w:uiPriority w:val="0"/>
    <w:rPr>
      <w:kern w:val="2"/>
      <w:sz w:val="16"/>
      <w:szCs w:val="16"/>
    </w:rPr>
  </w:style>
  <w:style w:type="character" w:customStyle="1" w:styleId="201">
    <w:name w:val="HTML 预设格式 Char"/>
    <w:basedOn w:val="46"/>
    <w:link w:val="37"/>
    <w:qFormat/>
    <w:uiPriority w:val="0"/>
    <w:rPr>
      <w:rFonts w:ascii="黑体" w:hAnsi="Courier New" w:eastAsia="黑体" w:cs="Courier New"/>
    </w:rPr>
  </w:style>
  <w:style w:type="character" w:customStyle="1" w:styleId="202">
    <w:name w:val="批注主题 Char"/>
    <w:basedOn w:val="169"/>
    <w:link w:val="41"/>
    <w:semiHidden/>
    <w:qFormat/>
    <w:uiPriority w:val="0"/>
    <w:rPr>
      <w:rFonts w:eastAsia="宋体"/>
      <w:b/>
      <w:bCs/>
      <w:kern w:val="2"/>
      <w:sz w:val="24"/>
      <w:szCs w:val="24"/>
      <w:lang w:val="en-US" w:eastAsia="zh-CN" w:bidi="ar-SA"/>
    </w:rPr>
  </w:style>
  <w:style w:type="character" w:customStyle="1" w:styleId="203">
    <w:name w:val="正文首行缩进 Char"/>
    <w:basedOn w:val="164"/>
    <w:link w:val="42"/>
    <w:qFormat/>
    <w:uiPriority w:val="0"/>
    <w:rPr>
      <w:rFonts w:eastAsia="仿宋_GB2312"/>
      <w:kern w:val="2"/>
      <w:sz w:val="21"/>
      <w:szCs w:val="24"/>
      <w:lang w:val="en-US" w:eastAsia="zh-CN" w:bidi="ar-SA"/>
    </w:rPr>
  </w:style>
  <w:style w:type="character" w:customStyle="1" w:styleId="204">
    <w:name w:val="正文首行缩进 2 Char"/>
    <w:basedOn w:val="66"/>
    <w:link w:val="43"/>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6"/>
    <w:qFormat/>
    <w:uiPriority w:val="0"/>
    <w:rPr>
      <w:rFonts w:hint="eastAsia" w:ascii="宋体" w:hAnsi="宋体" w:eastAsia="宋体" w:cs="宋体"/>
      <w:color w:val="000000"/>
      <w:sz w:val="22"/>
      <w:szCs w:val="22"/>
      <w:u w:val="none"/>
    </w:rPr>
  </w:style>
  <w:style w:type="character" w:customStyle="1" w:styleId="267">
    <w:name w:val="font11"/>
    <w:basedOn w:val="46"/>
    <w:qFormat/>
    <w:uiPriority w:val="0"/>
    <w:rPr>
      <w:rFonts w:hint="eastAsia" w:ascii="宋体" w:hAnsi="宋体" w:eastAsia="宋体" w:cs="宋体"/>
      <w:color w:val="FF0000"/>
      <w:sz w:val="22"/>
      <w:szCs w:val="22"/>
      <w:u w:val="none"/>
    </w:rPr>
  </w:style>
  <w:style w:type="character" w:customStyle="1" w:styleId="268">
    <w:name w:val="font41"/>
    <w:basedOn w:val="46"/>
    <w:qFormat/>
    <w:uiPriority w:val="0"/>
    <w:rPr>
      <w:rFonts w:hint="default" w:ascii="等线" w:hAnsi="等线" w:eastAsia="等线" w:cs="等线"/>
      <w:color w:val="FF0000"/>
      <w:sz w:val="22"/>
      <w:szCs w:val="22"/>
      <w:u w:val="none"/>
    </w:rPr>
  </w:style>
  <w:style w:type="character" w:customStyle="1" w:styleId="269">
    <w:name w:val="font21"/>
    <w:basedOn w:val="46"/>
    <w:qFormat/>
    <w:uiPriority w:val="0"/>
    <w:rPr>
      <w:rFonts w:hint="default" w:ascii="等线" w:hAnsi="等线" w:eastAsia="等线" w:cs="等线"/>
      <w:color w:val="000000"/>
      <w:sz w:val="22"/>
      <w:szCs w:val="22"/>
      <w:u w:val="none"/>
    </w:rPr>
  </w:style>
  <w:style w:type="character" w:customStyle="1" w:styleId="270">
    <w:name w:val="font51"/>
    <w:basedOn w:val="46"/>
    <w:qFormat/>
    <w:uiPriority w:val="0"/>
    <w:rPr>
      <w:rFonts w:hint="default" w:ascii="等线" w:hAnsi="等线" w:eastAsia="等线" w:cs="等线"/>
      <w:color w:val="FF0000"/>
      <w:sz w:val="22"/>
      <w:szCs w:val="22"/>
      <w:u w:val="none"/>
    </w:rPr>
  </w:style>
  <w:style w:type="character" w:customStyle="1" w:styleId="271">
    <w:name w:val="font61"/>
    <w:basedOn w:val="46"/>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6"/>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6"/>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6"/>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my正文"/>
    <w:basedOn w:val="1"/>
    <w:qFormat/>
    <w:uiPriority w:val="0"/>
    <w:pPr>
      <w:adjustRightInd w:val="0"/>
      <w:ind w:firstLine="480" w:firstLineChars="200"/>
    </w:pPr>
    <w:rPr>
      <w:kern w:val="0"/>
      <w:sz w:val="24"/>
    </w:rPr>
  </w:style>
  <w:style w:type="character" w:customStyle="1" w:styleId="288">
    <w:name w:val="NormalCharacter"/>
    <w:qFormat/>
    <w:uiPriority w:val="0"/>
    <w:rPr>
      <w:rFonts w:ascii="Calibri" w:hAnsi="Calibri" w:eastAsia="宋体" w:cs="Times New Roman"/>
      <w:kern w:val="2"/>
      <w:sz w:val="21"/>
      <w:szCs w:val="22"/>
      <w:lang w:val="en-US" w:eastAsia="zh-CN" w:bidi="ar-SA"/>
    </w:rPr>
  </w:style>
  <w:style w:type="paragraph" w:customStyle="1" w:styleId="289">
    <w:name w:val="__正文"/>
    <w:qFormat/>
    <w:uiPriority w:val="0"/>
    <w:pPr>
      <w:spacing w:line="360" w:lineRule="auto"/>
      <w:ind w:firstLine="200" w:firstLineChars="200"/>
    </w:pPr>
    <w:rPr>
      <w:rFonts w:ascii="Calibri" w:hAnsi="Calibri" w:eastAsia="微软雅黑" w:cs="Times New Roman"/>
      <w:kern w:val="2"/>
      <w:sz w:val="21"/>
      <w:szCs w:val="21"/>
      <w:lang w:val="en-US" w:eastAsia="zh-CN" w:bidi="ar-SA"/>
    </w:rPr>
  </w:style>
  <w:style w:type="paragraph" w:customStyle="1" w:styleId="290">
    <w:name w:val="!BECC正文"/>
    <w:basedOn w:val="1"/>
    <w:qFormat/>
    <w:uiPriority w:val="0"/>
    <w:pPr>
      <w:tabs>
        <w:tab w:val="left" w:pos="0"/>
      </w:tabs>
      <w:spacing w:beforeLines="50" w:afterLines="50" w:line="360" w:lineRule="auto"/>
      <w:ind w:firstLine="200" w:firstLineChars="200"/>
      <w:contextualSpacing/>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F6BD4F-6769-4716-B6FE-5C86E2C0B55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48169</Words>
  <Characters>51511</Characters>
  <Lines>431</Lines>
  <Paragraphs>121</Paragraphs>
  <TotalTime>9</TotalTime>
  <ScaleCrop>false</ScaleCrop>
  <LinksUpToDate>false</LinksUpToDate>
  <CharactersWithSpaces>58533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2022-02-28T03:43:00Z</dcterms:created>
  <dc:creator>USER</dc:creator>
  <cp:lastModifiedBy>無珂鲰玳k&amp;o_O</cp:lastModifiedBy>
  <cp:lastPrinted>2022-02-14T11:21:00Z</cp:lastPrinted>
  <dcterms:modified xsi:type="dcterms:W3CDTF">2022-07-15T02:44:53Z</dcterms:modified>
  <dc:title>绍兴文理学院计算机机房设备及录播系统供货项目</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EC3256658ABD4F5ABBD8BFDEC8602000</vt:lpwstr>
  </property>
  <property fmtid="{D5CDD505-2E9C-101B-9397-08002B2CF9AE}" pid="6" name="commondata">
    <vt:lpwstr>eyJoZGlkIjoiODJiMTc5Mjg0YWFmNjAwZTBjOGFiODc5N2VmNzc1NDQifQ==</vt:lpwstr>
  </property>
</Properties>
</file>